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5F95E010" w14:textId="06342F52"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91704B">
        <w:rPr>
          <w:rFonts w:ascii="Arial" w:hAnsi="Arial" w:cs="Arial"/>
          <w:b/>
          <w:sz w:val="24"/>
        </w:rPr>
        <w:t>90</w:t>
      </w:r>
      <w:r w:rsidR="007D26D0">
        <w:rPr>
          <w:rFonts w:ascii="Arial" w:hAnsi="Arial" w:cs="Arial"/>
          <w:b/>
          <w:sz w:val="24"/>
        </w:rPr>
        <w:t>b</w:t>
      </w:r>
      <w:r w:rsidRPr="00DA12F7">
        <w:rPr>
          <w:rFonts w:ascii="Arial" w:hAnsi="Arial" w:cs="Arial"/>
          <w:b/>
          <w:sz w:val="24"/>
        </w:rPr>
        <w:tab/>
      </w:r>
      <w:r w:rsidR="00ED1552" w:rsidRPr="00ED1552">
        <w:rPr>
          <w:rFonts w:ascii="Arial" w:hAnsi="Arial" w:cs="Arial"/>
          <w:b/>
          <w:sz w:val="24"/>
        </w:rPr>
        <w:t>R1-1718114</w:t>
      </w:r>
      <w:bookmarkStart w:id="0" w:name="_GoBack"/>
      <w:bookmarkEnd w:id="0"/>
    </w:p>
    <w:p w14:paraId="13C19C48" w14:textId="3EABEBA1" w:rsidR="00FD45CD" w:rsidRPr="00DA12F7" w:rsidRDefault="007D26D0" w:rsidP="00FD45CD">
      <w:pPr>
        <w:tabs>
          <w:tab w:val="right" w:pos="9630"/>
        </w:tabs>
        <w:spacing w:after="0"/>
        <w:rPr>
          <w:rFonts w:ascii="Arial" w:hAnsi="Arial" w:cs="Arial"/>
          <w:b/>
          <w:sz w:val="24"/>
          <w:szCs w:val="24"/>
        </w:rPr>
      </w:pPr>
      <w:r>
        <w:rPr>
          <w:rFonts w:ascii="Arial" w:hAnsi="Arial" w:cs="Arial"/>
          <w:b/>
          <w:sz w:val="24"/>
          <w:szCs w:val="24"/>
        </w:rPr>
        <w:t>October 9</w:t>
      </w:r>
      <w:r w:rsidRPr="007D26D0">
        <w:rPr>
          <w:rFonts w:ascii="Arial" w:hAnsi="Arial" w:cs="Arial"/>
          <w:b/>
          <w:sz w:val="24"/>
          <w:szCs w:val="24"/>
          <w:vertAlign w:val="superscript"/>
        </w:rPr>
        <w:t>th</w:t>
      </w:r>
      <w:r>
        <w:rPr>
          <w:rFonts w:ascii="Arial" w:hAnsi="Arial" w:cs="Arial"/>
          <w:b/>
          <w:sz w:val="24"/>
          <w:szCs w:val="24"/>
        </w:rPr>
        <w:t>-13</w:t>
      </w:r>
      <w:r w:rsidRPr="007D26D0">
        <w:rPr>
          <w:rFonts w:ascii="Arial" w:hAnsi="Arial" w:cs="Arial"/>
          <w:b/>
          <w:sz w:val="24"/>
          <w:szCs w:val="24"/>
          <w:vertAlign w:val="superscript"/>
        </w:rPr>
        <w:t>th</w:t>
      </w:r>
      <w:r w:rsidR="00FD45CD" w:rsidRPr="00DA12F7">
        <w:rPr>
          <w:rFonts w:ascii="Arial" w:hAnsi="Arial" w:cs="Arial"/>
          <w:b/>
          <w:sz w:val="24"/>
          <w:szCs w:val="24"/>
        </w:rPr>
        <w:t>, 201</w:t>
      </w:r>
      <w:r w:rsidR="00460121">
        <w:rPr>
          <w:rFonts w:ascii="Arial" w:hAnsi="Arial" w:cs="Arial"/>
          <w:b/>
          <w:sz w:val="24"/>
          <w:szCs w:val="24"/>
        </w:rPr>
        <w:t>7</w:t>
      </w:r>
    </w:p>
    <w:p w14:paraId="0595412A" w14:textId="5DDC9309" w:rsidR="00FD45CD" w:rsidRPr="00DA12F7" w:rsidRDefault="0091704B" w:rsidP="00FD45CD">
      <w:pPr>
        <w:rPr>
          <w:rFonts w:ascii="Arial" w:hAnsi="Arial" w:cs="Arial"/>
          <w:b/>
          <w:sz w:val="24"/>
          <w:szCs w:val="24"/>
        </w:rPr>
      </w:pPr>
      <w:r>
        <w:rPr>
          <w:rFonts w:ascii="Arial" w:hAnsi="Arial" w:cs="Arial"/>
          <w:b/>
          <w:sz w:val="24"/>
          <w:szCs w:val="24"/>
        </w:rPr>
        <w:t>Prague</w:t>
      </w:r>
      <w:r w:rsidR="00A20EB0">
        <w:rPr>
          <w:rFonts w:ascii="Arial" w:hAnsi="Arial" w:cs="Arial"/>
          <w:b/>
          <w:sz w:val="24"/>
          <w:szCs w:val="24"/>
        </w:rPr>
        <w:t xml:space="preserve">, </w:t>
      </w:r>
      <w:r w:rsidR="00E762F1">
        <w:rPr>
          <w:rFonts w:ascii="Arial" w:hAnsi="Arial" w:cs="Arial"/>
          <w:b/>
          <w:sz w:val="24"/>
          <w:szCs w:val="24"/>
        </w:rPr>
        <w:t>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8892DE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7D26D0">
        <w:rPr>
          <w:rFonts w:ascii="Arial" w:hAnsi="Arial"/>
          <w:sz w:val="24"/>
        </w:rPr>
        <w:t>6</w:t>
      </w:r>
      <w:r w:rsidR="000D4C5E">
        <w:rPr>
          <w:rFonts w:ascii="Arial" w:hAnsi="Arial"/>
          <w:sz w:val="24"/>
        </w:rPr>
        <w:t>.</w:t>
      </w:r>
      <w:r w:rsidR="003B41B2">
        <w:rPr>
          <w:rFonts w:ascii="Arial" w:hAnsi="Arial"/>
          <w:sz w:val="24"/>
        </w:rPr>
        <w:t>2</w:t>
      </w:r>
      <w:r w:rsidR="000D4C5E">
        <w:rPr>
          <w:rFonts w:ascii="Arial" w:hAnsi="Arial"/>
          <w:sz w:val="24"/>
        </w:rPr>
        <w:t>.</w:t>
      </w:r>
      <w:r w:rsidR="009A465D">
        <w:rPr>
          <w:rFonts w:ascii="Arial" w:hAnsi="Arial"/>
          <w:sz w:val="24"/>
        </w:rPr>
        <w:t>1</w:t>
      </w:r>
      <w:r w:rsidR="000D4C5E">
        <w:rPr>
          <w:rFonts w:ascii="Arial" w:hAnsi="Arial"/>
          <w:sz w:val="24"/>
        </w:rPr>
        <w:t>.</w:t>
      </w:r>
      <w:r w:rsidR="003B41B2">
        <w:rPr>
          <w:rFonts w:ascii="Arial" w:hAnsi="Arial"/>
          <w:sz w:val="24"/>
        </w:rPr>
        <w:t>2.</w:t>
      </w:r>
      <w:r w:rsidR="00E762F1">
        <w:rPr>
          <w:rFonts w:ascii="Arial" w:hAnsi="Arial"/>
          <w:sz w:val="24"/>
        </w:rPr>
        <w:t>5</w:t>
      </w:r>
      <w:r w:rsidR="001E4B8F">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5AD1EF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proofErr w:type="spellStart"/>
      <w:r w:rsidR="00E762F1">
        <w:rPr>
          <w:rFonts w:ascii="Arial" w:hAnsi="Arial"/>
          <w:sz w:val="22"/>
        </w:rPr>
        <w:t>sPU</w:t>
      </w:r>
      <w:r w:rsidR="00DC0554">
        <w:rPr>
          <w:rFonts w:ascii="Arial" w:hAnsi="Arial"/>
          <w:sz w:val="22"/>
        </w:rPr>
        <w:t>S</w:t>
      </w:r>
      <w:r w:rsidR="00E762F1">
        <w:rPr>
          <w:rFonts w:ascii="Arial" w:hAnsi="Arial"/>
          <w:sz w:val="22"/>
        </w:rPr>
        <w:t>CH</w:t>
      </w:r>
      <w:proofErr w:type="spellEnd"/>
      <w:r w:rsidR="00E762F1">
        <w:rPr>
          <w:rFonts w:ascii="Arial" w:hAnsi="Arial"/>
          <w:sz w:val="22"/>
        </w:rPr>
        <w:t xml:space="preserve"> Power Control</w:t>
      </w:r>
      <w:r w:rsidR="00754128">
        <w:rPr>
          <w:rFonts w:ascii="Arial" w:hAnsi="Arial"/>
          <w:sz w:val="22"/>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5D96C09D" w:rsidR="00491EEE" w:rsidRDefault="00FD6A3D" w:rsidP="00491EEE">
      <w:pPr>
        <w:pStyle w:val="Heading1"/>
      </w:pPr>
      <w:r w:rsidRPr="00CC27F5">
        <w:t>1</w:t>
      </w:r>
      <w:r w:rsidRPr="00CC27F5">
        <w:tab/>
      </w:r>
      <w:r w:rsidR="00B209B5" w:rsidRPr="00CC27F5">
        <w:t>Introduction</w:t>
      </w:r>
    </w:p>
    <w:p w14:paraId="2A0677C9" w14:textId="78708D04" w:rsidR="007D26D0" w:rsidRPr="00DA12F7" w:rsidRDefault="007D26D0" w:rsidP="007D26D0">
      <w:pPr>
        <w:tabs>
          <w:tab w:val="right" w:pos="9630"/>
        </w:tabs>
        <w:spacing w:after="0"/>
      </w:pPr>
      <w:r>
        <w:rPr>
          <w:lang w:val="en-GB"/>
        </w:rPr>
        <w:t xml:space="preserve">Note: This paper is a revised version of </w:t>
      </w:r>
      <w:r w:rsidRPr="007D26D0">
        <w:rPr>
          <w:bCs/>
          <w:szCs w:val="16"/>
        </w:rPr>
        <w:t>R1-1712791</w:t>
      </w:r>
      <w:r>
        <w:rPr>
          <w:bCs/>
          <w:szCs w:val="16"/>
        </w:rPr>
        <w:t>.</w:t>
      </w:r>
    </w:p>
    <w:p w14:paraId="49033D68" w14:textId="304BFD9B" w:rsidR="007D26D0" w:rsidRDefault="007D26D0" w:rsidP="005F0987">
      <w:pPr>
        <w:rPr>
          <w:lang w:val="en-GB"/>
        </w:rPr>
      </w:pPr>
    </w:p>
    <w:p w14:paraId="7CE42CD6" w14:textId="34D77729" w:rsidR="00374CFA" w:rsidRDefault="00E762F1" w:rsidP="005F0987">
      <w:pPr>
        <w:rPr>
          <w:lang w:val="en-GB"/>
        </w:rPr>
      </w:pPr>
      <w:r>
        <w:rPr>
          <w:lang w:val="en-GB"/>
        </w:rPr>
        <w:t>In legacy LTE, the transmit power for P</w:t>
      </w:r>
      <w:r w:rsidR="00FF4054">
        <w:rPr>
          <w:lang w:val="en-GB"/>
        </w:rPr>
        <w:t>US</w:t>
      </w:r>
      <w:r>
        <w:rPr>
          <w:lang w:val="en-GB"/>
        </w:rPr>
        <w:t xml:space="preserve">CH during subframe </w:t>
      </w:r>
      <m:oMath>
        <m:r>
          <w:rPr>
            <w:rFonts w:ascii="Cambria Math" w:hAnsi="Cambria Math"/>
            <w:lang w:val="en-GB"/>
          </w:rPr>
          <m:t>i</m:t>
        </m:r>
      </m:oMath>
      <w:r w:rsidR="004A2433">
        <w:rPr>
          <w:lang w:val="en-GB"/>
        </w:rPr>
        <w:t xml:space="preserve"> and cell </w:t>
      </w:r>
      <m:oMath>
        <m:r>
          <w:rPr>
            <w:rFonts w:ascii="Cambria Math" w:hAnsi="Cambria Math"/>
            <w:lang w:val="en-GB"/>
          </w:rPr>
          <m:t>c</m:t>
        </m:r>
      </m:oMath>
      <w:r>
        <w:rPr>
          <w:lang w:val="en-GB"/>
        </w:rPr>
        <w:t xml:space="preserve"> is given as:</w:t>
      </w:r>
    </w:p>
    <w:p w14:paraId="771C1107" w14:textId="03B1575A" w:rsidR="00E762F1" w:rsidRPr="00E762F1" w:rsidRDefault="00200ED4" w:rsidP="005F0987">
      <w:pPr>
        <w:rPr>
          <w:lang w:val="en-GB"/>
        </w:rPr>
      </w:pPr>
      <m:oMathPara>
        <m:oMath>
          <m:func>
            <m:funcPr>
              <m:ctrlPr>
                <w:rPr>
                  <w:rFonts w:ascii="Cambria Math" w:hAnsi="Cambria Math"/>
                  <w:lang w:val="en-GB"/>
                </w:rPr>
              </m:ctrlPr>
            </m:funcPr>
            <m:fName>
              <m:r>
                <m:rPr>
                  <m:sty m:val="p"/>
                </m:rPr>
                <w:rPr>
                  <w:rFonts w:ascii="Cambria Math" w:hAnsi="Cambria Math"/>
                  <w:lang w:val="en-GB"/>
                </w:rPr>
                <m:t>min</m:t>
              </m:r>
            </m:fName>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10</m:t>
                      </m:r>
                      <m:r>
                        <m:rPr>
                          <m:sty m:val="p"/>
                        </m:rPr>
                        <w:rPr>
                          <w:rFonts w:ascii="Cambria Math" w:hAnsi="Cambria Math"/>
                          <w:lang w:val="en-GB"/>
                        </w:rPr>
                        <m:t>log⁡</m:t>
                      </m:r>
                      <m:r>
                        <w:rPr>
                          <w:rFonts w:ascii="Cambria Math" w:hAnsi="Cambria Math"/>
                          <w:lang w:val="en-GB"/>
                        </w:rPr>
                        <m:t>(P</m:t>
                      </m:r>
                    </m:e>
                    <m:sub>
                      <m:r>
                        <w:rPr>
                          <w:rFonts w:ascii="Cambria Math" w:hAnsi="Cambria Math"/>
                          <w:lang w:val="en-GB"/>
                        </w:rPr>
                        <m:t>CMAX,c-linear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PUCCH-linear</m:t>
                      </m:r>
                    </m:sub>
                  </m:sSub>
                  <m:r>
                    <w:rPr>
                      <w:rFonts w:ascii="Cambria Math" w:hAnsi="Cambria Math"/>
                      <w:lang w:val="en-GB"/>
                    </w:rPr>
                    <m:t>(i)),</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o-PUSCH,c</m:t>
                      </m:r>
                    </m:sub>
                  </m:sSub>
                  <m:r>
                    <w:rPr>
                      <w:rFonts w:ascii="Cambria Math" w:hAnsi="Cambria Math"/>
                      <w:lang w:val="en-GB"/>
                    </w:rPr>
                    <m:t>(j)+α_c(j) *PL_c +</m:t>
                  </m:r>
                  <m:sSub>
                    <m:sSubPr>
                      <m:ctrlPr>
                        <w:rPr>
                          <w:rFonts w:ascii="Cambria Math" w:hAnsi="Cambria Math"/>
                          <w:i/>
                          <w:lang w:val="en-GB"/>
                        </w:rPr>
                      </m:ctrlPr>
                    </m:sSubPr>
                    <m:e>
                      <m:r>
                        <m:rPr>
                          <m:sty m:val="p"/>
                        </m:rPr>
                        <w:rPr>
                          <w:rFonts w:ascii="Cambria Math" w:hAnsi="Cambria Math"/>
                          <w:lang w:val="en-GB"/>
                        </w:rPr>
                        <m:t>Δ</m:t>
                      </m:r>
                    </m:e>
                    <m:sub>
                      <m:r>
                        <w:rPr>
                          <w:rFonts w:ascii="Cambria Math" w:hAnsi="Cambria Math"/>
                          <w:lang w:val="en-GB"/>
                        </w:rPr>
                        <m:t>TF,c</m:t>
                      </m:r>
                    </m:sub>
                  </m:sSub>
                  <m:d>
                    <m:dPr>
                      <m:ctrlPr>
                        <w:rPr>
                          <w:rFonts w:ascii="Cambria Math" w:hAnsi="Cambria Math"/>
                          <w:i/>
                          <w:lang w:val="en-GB"/>
                        </w:rPr>
                      </m:ctrlPr>
                    </m:dPr>
                    <m:e>
                      <m:r>
                        <w:rPr>
                          <w:rFonts w:ascii="Cambria Math" w:hAnsi="Cambria Math"/>
                          <w:lang w:val="en-GB"/>
                        </w:rPr>
                        <m:t>i</m:t>
                      </m:r>
                    </m:e>
                  </m:d>
                  <m:r>
                    <w:rPr>
                      <w:rFonts w:ascii="Cambria Math" w:hAnsi="Cambria Math"/>
                      <w:lang w:val="en-GB"/>
                    </w:rPr>
                    <m:t>+10</m:t>
                  </m:r>
                  <m:r>
                    <m:rPr>
                      <m:sty m:val="p"/>
                    </m:rPr>
                    <w:rPr>
                      <w:rFonts w:ascii="Cambria Math" w:hAnsi="Cambria Math"/>
                      <w:lang w:val="en-GB"/>
                    </w:rPr>
                    <m:t xml:space="preserve">log </m:t>
                  </m:r>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PUSCH,c</m:t>
                      </m:r>
                    </m:sub>
                  </m:sSub>
                  <m:r>
                    <w:rPr>
                      <w:rFonts w:ascii="Cambria Math" w:hAnsi="Cambria Math"/>
                      <w:lang w:val="en-GB"/>
                    </w:rPr>
                    <m:t>(i))+</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d>
                    <m:dPr>
                      <m:ctrlPr>
                        <w:rPr>
                          <w:rFonts w:ascii="Cambria Math" w:hAnsi="Cambria Math"/>
                          <w:i/>
                          <w:lang w:val="en-GB"/>
                        </w:rPr>
                      </m:ctrlPr>
                    </m:dPr>
                    <m:e>
                      <m:r>
                        <w:rPr>
                          <w:rFonts w:ascii="Cambria Math" w:hAnsi="Cambria Math"/>
                          <w:lang w:val="en-GB"/>
                        </w:rPr>
                        <m:t>i</m:t>
                      </m:r>
                    </m:e>
                  </m:d>
                </m:e>
              </m:d>
            </m:e>
          </m:func>
          <m:r>
            <w:rPr>
              <w:rFonts w:ascii="Cambria Math" w:hAnsi="Cambria Math"/>
              <w:lang w:val="en-GB"/>
            </w:rPr>
            <m:t xml:space="preserve">. </m:t>
          </m:r>
        </m:oMath>
      </m:oMathPara>
    </w:p>
    <w:p w14:paraId="7B122712" w14:textId="6589C89B" w:rsidR="00E762F1" w:rsidRDefault="00E762F1" w:rsidP="003B1E5D">
      <w:pPr>
        <w:jc w:val="both"/>
        <w:rPr>
          <w:lang w:val="en-GB"/>
        </w:rPr>
      </w:pPr>
      <w:r>
        <w:rPr>
          <w:lang w:val="en-GB"/>
        </w:rPr>
        <w:t xml:space="preserve">The closed-loop parameter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(i)</m:t>
        </m:r>
      </m:oMath>
      <w:r>
        <w:rPr>
          <w:lang w:val="en-GB"/>
        </w:rPr>
        <w:t xml:space="preserve"> is controlled by t</w:t>
      </w:r>
      <w:r w:rsidR="00FF4054">
        <w:rPr>
          <w:lang w:val="en-GB"/>
        </w:rPr>
        <w:t xml:space="preserve">he </w:t>
      </w:r>
      <w:proofErr w:type="spellStart"/>
      <w:r w:rsidR="00FF4054">
        <w:rPr>
          <w:lang w:val="en-GB"/>
        </w:rPr>
        <w:t>eNB</w:t>
      </w:r>
      <w:proofErr w:type="spellEnd"/>
      <w:r w:rsidR="00FF4054">
        <w:rPr>
          <w:lang w:val="en-GB"/>
        </w:rPr>
        <w:t xml:space="preserve"> through the TPC command within the U</w:t>
      </w:r>
      <w:r>
        <w:rPr>
          <w:lang w:val="en-GB"/>
        </w:rPr>
        <w:t xml:space="preserve">L grant.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o-PUSCH</m:t>
            </m:r>
          </m:sub>
        </m:sSub>
      </m:oMath>
      <w:r w:rsidR="00FF4054">
        <w:rPr>
          <w:lang w:val="en-GB"/>
        </w:rPr>
        <w:t xml:space="preserve"> is indicated to a UE and consists of one cell-specific and one UE-specific component</w:t>
      </w:r>
      <w:r>
        <w:rPr>
          <w:lang w:val="en-GB"/>
        </w:rPr>
        <w:t xml:space="preserve">. Further, </w:t>
      </w:r>
      <m:oMath>
        <m:r>
          <w:rPr>
            <w:rFonts w:ascii="Cambria Math" w:hAnsi="Cambria Math"/>
            <w:lang w:val="en-GB"/>
          </w:rPr>
          <m:t>α</m:t>
        </m:r>
      </m:oMath>
      <w:r w:rsidR="00FF4054">
        <w:rPr>
          <w:lang w:val="en-GB"/>
        </w:rPr>
        <w:t xml:space="preserve"> is used to enable fractional power control. Also, </w:t>
      </w:r>
      <m:oMath>
        <m:sSub>
          <m:sSubPr>
            <m:ctrlPr>
              <w:rPr>
                <w:rFonts w:ascii="Cambria Math" w:hAnsi="Cambria Math"/>
                <w:i/>
                <w:lang w:val="en-GB"/>
              </w:rPr>
            </m:ctrlPr>
          </m:sSubPr>
          <m:e>
            <m:r>
              <m:rPr>
                <m:sty m:val="p"/>
              </m:rPr>
              <w:rPr>
                <w:rFonts w:ascii="Cambria Math" w:hAnsi="Cambria Math"/>
                <w:lang w:val="en-GB"/>
              </w:rPr>
              <m:t>Δ</m:t>
            </m:r>
            <m:ctrlPr>
              <w:rPr>
                <w:rFonts w:ascii="Cambria Math" w:hAnsi="Cambria Math"/>
                <w:lang w:val="en-GB"/>
              </w:rPr>
            </m:ctrlPr>
          </m:e>
          <m:sub>
            <m:r>
              <w:rPr>
                <w:rFonts w:ascii="Cambria Math" w:hAnsi="Cambria Math"/>
                <w:lang w:val="en-GB"/>
              </w:rPr>
              <m:t>TF</m:t>
            </m:r>
          </m:sub>
        </m:sSub>
      </m:oMath>
      <w:r w:rsidR="00FF4054">
        <w:rPr>
          <w:lang w:val="en-GB"/>
        </w:rPr>
        <w:t xml:space="preserve"> is set based on the chosen MCS; </w:t>
      </w:r>
      <m:oMath>
        <m:sSub>
          <m:sSubPr>
            <m:ctrlPr>
              <w:rPr>
                <w:rFonts w:ascii="Cambria Math" w:hAnsi="Cambria Math"/>
                <w:i/>
                <w:lang w:val="en-GB"/>
              </w:rPr>
            </m:ctrlPr>
          </m:sSubPr>
          <m:e>
            <m:r>
              <m:rPr>
                <m:sty m:val="p"/>
              </m:rPr>
              <w:rPr>
                <w:rFonts w:ascii="Cambria Math" w:hAnsi="Cambria Math"/>
                <w:lang w:val="en-GB"/>
              </w:rPr>
              <m:t>Δ</m:t>
            </m:r>
            <m:ctrlPr>
              <w:rPr>
                <w:rFonts w:ascii="Cambria Math" w:hAnsi="Cambria Math"/>
                <w:lang w:val="en-GB"/>
              </w:rPr>
            </m:ctrlPr>
          </m:e>
          <m:sub>
            <m:r>
              <w:rPr>
                <w:rFonts w:ascii="Cambria Math" w:hAnsi="Cambria Math"/>
                <w:lang w:val="en-GB"/>
              </w:rPr>
              <m:t>TF</m:t>
            </m:r>
          </m:sub>
        </m:sSub>
        <m:r>
          <w:rPr>
            <w:rFonts w:ascii="Cambria Math" w:hAnsi="Cambria Math"/>
            <w:lang w:val="en-GB"/>
          </w:rPr>
          <m:t xml:space="preserve"> </m:t>
        </m:r>
      </m:oMath>
      <w:r w:rsidR="00FF4054">
        <w:rPr>
          <w:lang w:val="en-GB"/>
        </w:rPr>
        <w:t xml:space="preserve">increases the transmit power for higher order modulation schemes and higher coding rates. </w:t>
      </w:r>
    </w:p>
    <w:p w14:paraId="171DC57A" w14:textId="16252E9E" w:rsidR="00354455" w:rsidRDefault="00FF4054" w:rsidP="003B1E5D">
      <w:pPr>
        <w:jc w:val="both"/>
        <w:rPr>
          <w:lang w:val="en-GB"/>
        </w:rPr>
      </w:pPr>
      <w:r>
        <w:rPr>
          <w:lang w:val="en-GB"/>
        </w:rPr>
        <w:t xml:space="preserve">Further, in legacy LTE, </w:t>
      </w:r>
      <w:r w:rsidR="00354455">
        <w:rPr>
          <w:lang w:val="en-GB"/>
        </w:rPr>
        <w:t>the SRS power is controlled via the PUSCH closed-loop parameter.</w:t>
      </w:r>
    </w:p>
    <w:p w14:paraId="2B7A26FC" w14:textId="4C569500" w:rsidR="00354455" w:rsidRPr="005F0987" w:rsidRDefault="00354455" w:rsidP="003B1E5D">
      <w:pPr>
        <w:jc w:val="both"/>
        <w:rPr>
          <w:lang w:val="en-GB"/>
        </w:rPr>
      </w:pPr>
      <w:r>
        <w:rPr>
          <w:lang w:val="en-GB"/>
        </w:rPr>
        <w:t xml:space="preserve">In this paper, we discuss power control for </w:t>
      </w:r>
      <w:proofErr w:type="spellStart"/>
      <w:r>
        <w:rPr>
          <w:lang w:val="en-GB"/>
        </w:rPr>
        <w:t>sPUSCH</w:t>
      </w:r>
      <w:proofErr w:type="spellEnd"/>
      <w:r>
        <w:rPr>
          <w:lang w:val="en-GB"/>
        </w:rPr>
        <w:t xml:space="preserve"> and </w:t>
      </w:r>
      <w:proofErr w:type="spellStart"/>
      <w:r>
        <w:rPr>
          <w:lang w:val="en-GB"/>
        </w:rPr>
        <w:t>sTTI</w:t>
      </w:r>
      <w:proofErr w:type="spellEnd"/>
      <w:r>
        <w:rPr>
          <w:lang w:val="en-GB"/>
        </w:rPr>
        <w:t xml:space="preserve"> SRS.</w:t>
      </w:r>
    </w:p>
    <w:p w14:paraId="5803F0F8" w14:textId="2D7BB1FD" w:rsidR="00A77882" w:rsidRDefault="00EB30D8" w:rsidP="00DB7430">
      <w:pPr>
        <w:pStyle w:val="Heading1"/>
        <w:jc w:val="both"/>
      </w:pPr>
      <w:r>
        <w:t>2</w:t>
      </w:r>
      <w:r w:rsidR="00BA2042" w:rsidRPr="00CC27F5">
        <w:tab/>
      </w:r>
      <w:proofErr w:type="spellStart"/>
      <w:r w:rsidR="003B1E5D">
        <w:t>sPU</w:t>
      </w:r>
      <w:r w:rsidR="00354455">
        <w:t>S</w:t>
      </w:r>
      <w:r w:rsidR="003B1E5D">
        <w:t>CH</w:t>
      </w:r>
      <w:proofErr w:type="spellEnd"/>
      <w:r w:rsidR="003B1E5D">
        <w:t xml:space="preserve"> Power Control</w:t>
      </w:r>
    </w:p>
    <w:p w14:paraId="0CE1E4B8" w14:textId="77777777" w:rsidR="00B74A6A" w:rsidRDefault="00354455" w:rsidP="00354455">
      <w:pPr>
        <w:jc w:val="both"/>
        <w:rPr>
          <w:lang w:val="en-GB"/>
        </w:rPr>
      </w:pPr>
      <w:r>
        <w:rPr>
          <w:lang w:val="en-GB"/>
        </w:rPr>
        <w:t xml:space="preserve">As shown during the SI, </w:t>
      </w:r>
      <w:r w:rsidR="00B74A6A">
        <w:rPr>
          <w:lang w:val="en-GB"/>
        </w:rPr>
        <w:t xml:space="preserve">due to its inferior channel estimation quality, </w:t>
      </w:r>
      <w:proofErr w:type="spellStart"/>
      <w:r w:rsidR="00B74A6A">
        <w:rPr>
          <w:lang w:val="en-GB"/>
        </w:rPr>
        <w:t>sPUSCH</w:t>
      </w:r>
      <w:proofErr w:type="spellEnd"/>
      <w:r w:rsidR="00B74A6A">
        <w:rPr>
          <w:lang w:val="en-GB"/>
        </w:rPr>
        <w:t xml:space="preserve"> is outperformed by a comparable PUSCH. For this reason, it makes sense to configure the </w:t>
      </w:r>
      <w:proofErr w:type="spellStart"/>
      <w:r w:rsidR="00B74A6A">
        <w:rPr>
          <w:lang w:val="en-GB"/>
        </w:rPr>
        <w:t>sPUSCH</w:t>
      </w:r>
      <w:proofErr w:type="spellEnd"/>
      <w:r w:rsidR="00B74A6A">
        <w:rPr>
          <w:lang w:val="en-GB"/>
        </w:rPr>
        <w:t xml:space="preserve"> open-loop power control parameters separately. Hence, we have:</w:t>
      </w:r>
    </w:p>
    <w:p w14:paraId="58CEA876" w14:textId="56D77B1A" w:rsidR="00DD4A51" w:rsidRDefault="00B74A6A" w:rsidP="00354455">
      <w:pPr>
        <w:jc w:val="both"/>
        <w:rPr>
          <w:b/>
          <w:lang w:val="en-GB"/>
        </w:rPr>
      </w:pPr>
      <w:r w:rsidRPr="00B74A6A">
        <w:rPr>
          <w:b/>
          <w:lang w:val="en-GB"/>
        </w:rPr>
        <w:t xml:space="preserve">Proposal 1: For </w:t>
      </w:r>
      <w:proofErr w:type="spellStart"/>
      <w:r w:rsidRPr="00B74A6A">
        <w:rPr>
          <w:b/>
          <w:lang w:val="en-GB"/>
        </w:rPr>
        <w:t>sPUSCH</w:t>
      </w:r>
      <w:proofErr w:type="spellEnd"/>
      <w:r w:rsidRPr="00B74A6A">
        <w:rPr>
          <w:b/>
          <w:lang w:val="en-GB"/>
        </w:rPr>
        <w:t xml:space="preserve">, the open-loop power control parameters should be defined </w:t>
      </w:r>
      <w:r w:rsidR="00C67B9A">
        <w:rPr>
          <w:b/>
          <w:lang w:val="en-GB"/>
        </w:rPr>
        <w:t xml:space="preserve">and configured </w:t>
      </w:r>
      <w:r w:rsidRPr="00B74A6A">
        <w:rPr>
          <w:b/>
          <w:lang w:val="en-GB"/>
        </w:rPr>
        <w:t xml:space="preserve">independent of those of the legacy LTE. </w:t>
      </w:r>
    </w:p>
    <w:p w14:paraId="527200FB" w14:textId="3C46B907" w:rsidR="00B74A6A" w:rsidRDefault="00B74A6A" w:rsidP="00B74A6A">
      <w:pPr>
        <w:jc w:val="both"/>
        <w:rPr>
          <w:lang w:val="en-GB"/>
        </w:rPr>
      </w:pPr>
      <w:r w:rsidRPr="003B1E5D">
        <w:rPr>
          <w:lang w:val="en-GB"/>
        </w:rPr>
        <w:t xml:space="preserve">Moreover, as mentioned above, the closed-loop power control parameter </w:t>
      </w:r>
      <m:oMath>
        <m:r>
          <w:rPr>
            <w:rFonts w:ascii="Cambria Math" w:hAnsi="Cambria Math"/>
            <w:lang w:val="en-GB"/>
          </w:rPr>
          <m:t>f(i)</m:t>
        </m:r>
      </m:oMath>
      <w:r w:rsidRPr="003B1E5D">
        <w:rPr>
          <w:lang w:val="en-GB"/>
        </w:rPr>
        <w:t xml:space="preserve"> is controlled via a TPC command sent in the</w:t>
      </w:r>
      <w:r w:rsidR="0091704B">
        <w:rPr>
          <w:lang w:val="en-GB"/>
        </w:rPr>
        <w:t xml:space="preserve"> </w:t>
      </w:r>
      <w:r>
        <w:rPr>
          <w:lang w:val="en-GB"/>
        </w:rPr>
        <w:t>UL</w:t>
      </w:r>
      <w:r w:rsidRPr="003B1E5D">
        <w:rPr>
          <w:lang w:val="en-GB"/>
        </w:rPr>
        <w:t xml:space="preserve"> grant, and is applied to </w:t>
      </w:r>
      <w:r>
        <w:rPr>
          <w:lang w:val="en-GB"/>
        </w:rPr>
        <w:t xml:space="preserve">the entire UL subframe. For </w:t>
      </w:r>
      <w:proofErr w:type="spellStart"/>
      <w:r>
        <w:rPr>
          <w:lang w:val="en-GB"/>
        </w:rPr>
        <w:t>sPUS</w:t>
      </w:r>
      <w:r w:rsidRPr="003B1E5D">
        <w:rPr>
          <w:lang w:val="en-GB"/>
        </w:rPr>
        <w:t>CH</w:t>
      </w:r>
      <w:proofErr w:type="spellEnd"/>
      <w:r w:rsidRPr="003B1E5D">
        <w:rPr>
          <w:lang w:val="en-GB"/>
        </w:rPr>
        <w:t xml:space="preserve">, the new closed-loop power control parameter should be defined which </w:t>
      </w:r>
      <w:r>
        <w:rPr>
          <w:lang w:val="en-GB"/>
        </w:rPr>
        <w:t xml:space="preserve">is sent via </w:t>
      </w:r>
      <w:proofErr w:type="spellStart"/>
      <w:r>
        <w:rPr>
          <w:lang w:val="en-GB"/>
        </w:rPr>
        <w:t>sDCI</w:t>
      </w:r>
      <w:proofErr w:type="spellEnd"/>
      <w:r>
        <w:rPr>
          <w:lang w:val="en-GB"/>
        </w:rPr>
        <w:t xml:space="preserve">, and is applied to the corresponding UL </w:t>
      </w:r>
      <w:proofErr w:type="spellStart"/>
      <w:r>
        <w:rPr>
          <w:lang w:val="en-GB"/>
        </w:rPr>
        <w:t>sTTI</w:t>
      </w:r>
      <w:proofErr w:type="spellEnd"/>
      <w:r>
        <w:rPr>
          <w:lang w:val="en-GB"/>
        </w:rPr>
        <w:t>.</w:t>
      </w:r>
    </w:p>
    <w:p w14:paraId="7A9C72C0" w14:textId="6DAB0BF0" w:rsidR="00B74A6A" w:rsidRDefault="00B74A6A" w:rsidP="00B74A6A">
      <w:pPr>
        <w:jc w:val="both"/>
        <w:rPr>
          <w:b/>
          <w:lang w:val="en-GB"/>
        </w:rPr>
      </w:pPr>
      <w:r w:rsidRPr="00DD4A51">
        <w:rPr>
          <w:b/>
          <w:lang w:val="en-GB"/>
        </w:rPr>
        <w:t xml:space="preserve">Proposal 2: The closed-loop power control parameter of </w:t>
      </w:r>
      <w:proofErr w:type="spellStart"/>
      <w:r w:rsidRPr="00DD4A51">
        <w:rPr>
          <w:b/>
          <w:lang w:val="en-GB"/>
        </w:rPr>
        <w:t>sPU</w:t>
      </w:r>
      <w:r>
        <w:rPr>
          <w:b/>
          <w:lang w:val="en-GB"/>
        </w:rPr>
        <w:t>S</w:t>
      </w:r>
      <w:r w:rsidRPr="00DD4A51">
        <w:rPr>
          <w:b/>
          <w:lang w:val="en-GB"/>
        </w:rPr>
        <w:t>CH</w:t>
      </w:r>
      <w:proofErr w:type="spellEnd"/>
      <w:r w:rsidRPr="00DD4A51">
        <w:rPr>
          <w:b/>
          <w:lang w:val="en-GB"/>
        </w:rPr>
        <w:t xml:space="preserve"> is controlled via a TPC command within</w:t>
      </w:r>
      <w:r>
        <w:rPr>
          <w:b/>
          <w:lang w:val="en-GB"/>
        </w:rPr>
        <w:t xml:space="preserve"> the UL grant</w:t>
      </w:r>
      <w:r w:rsidRPr="00DD4A51">
        <w:rPr>
          <w:b/>
          <w:lang w:val="en-GB"/>
        </w:rPr>
        <w:t xml:space="preserve">, and is applied to the corresponding UL </w:t>
      </w:r>
      <w:proofErr w:type="spellStart"/>
      <w:r w:rsidRPr="00DD4A51">
        <w:rPr>
          <w:b/>
          <w:lang w:val="en-GB"/>
        </w:rPr>
        <w:t>sTTI</w:t>
      </w:r>
      <w:proofErr w:type="spellEnd"/>
      <w:r w:rsidRPr="00DD4A51">
        <w:rPr>
          <w:b/>
          <w:lang w:val="en-GB"/>
        </w:rPr>
        <w:t>.</w:t>
      </w:r>
    </w:p>
    <w:p w14:paraId="1E1EAF76" w14:textId="2A140B35" w:rsidR="004A2433" w:rsidRDefault="004A2433" w:rsidP="001E0A8C">
      <w:pPr>
        <w:jc w:val="both"/>
        <w:rPr>
          <w:lang w:val="en-GB"/>
        </w:rPr>
      </w:pPr>
      <w:r w:rsidRPr="004A2433">
        <w:rPr>
          <w:lang w:val="en-GB"/>
        </w:rPr>
        <w:t>Another aspect to look at i</w:t>
      </w:r>
      <w:r w:rsidR="0091704B">
        <w:rPr>
          <w:lang w:val="en-GB"/>
        </w:rPr>
        <w:t>s</w:t>
      </w:r>
      <w:r w:rsidRPr="004A2433">
        <w:rPr>
          <w:lang w:val="en-GB"/>
        </w:rPr>
        <w:t xml:space="preserve"> the power control for SRS transmission. </w:t>
      </w:r>
      <w:r>
        <w:rPr>
          <w:lang w:val="en-GB"/>
        </w:rPr>
        <w:t xml:space="preserve">In legacy LTE, the setting of the UE transmit power for the SRS during subframe </w:t>
      </w:r>
      <m:oMath>
        <m:r>
          <w:rPr>
            <w:rFonts w:ascii="Cambria Math" w:hAnsi="Cambria Math"/>
            <w:lang w:val="en-GB"/>
          </w:rPr>
          <m:t>i</m:t>
        </m:r>
      </m:oMath>
      <w:r>
        <w:rPr>
          <w:lang w:val="en-GB"/>
        </w:rPr>
        <w:t xml:space="preserve"> for serving cell </w:t>
      </w:r>
      <m:oMath>
        <m:r>
          <w:rPr>
            <w:rFonts w:ascii="Cambria Math" w:hAnsi="Cambria Math"/>
            <w:lang w:val="en-GB"/>
          </w:rPr>
          <m:t>c</m:t>
        </m:r>
      </m:oMath>
      <w:r>
        <w:rPr>
          <w:lang w:val="en-GB"/>
        </w:rPr>
        <w:t xml:space="preserve"> is defined as:</w:t>
      </w:r>
    </w:p>
    <w:p w14:paraId="537EB95D" w14:textId="1D9A41D7" w:rsidR="004A2433" w:rsidRPr="004A2433" w:rsidRDefault="004A2433" w:rsidP="001E0A8C">
      <w:pPr>
        <w:jc w:val="both"/>
        <w:rPr>
          <w:lang w:val="en-GB"/>
        </w:rPr>
      </w:pPr>
      <m:oMathPara>
        <m:oMath>
          <m:r>
            <m:rPr>
              <m:sty m:val="p"/>
            </m:rPr>
            <w:rPr>
              <w:rFonts w:ascii="Cambria Math" w:hAnsi="Cambria Math"/>
              <w:lang w:val="en-GB"/>
            </w:rPr>
            <m:t>min⁡</m:t>
          </m:r>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CMAX,c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SRS-OFFSET,c</m:t>
              </m:r>
            </m:sub>
          </m:sSub>
          <m:d>
            <m:dPr>
              <m:ctrlPr>
                <w:rPr>
                  <w:rFonts w:ascii="Cambria Math" w:hAnsi="Cambria Math"/>
                  <w:i/>
                  <w:lang w:val="en-GB"/>
                </w:rPr>
              </m:ctrlPr>
            </m:dPr>
            <m:e>
              <m:r>
                <w:rPr>
                  <w:rFonts w:ascii="Cambria Math" w:hAnsi="Cambria Math"/>
                  <w:lang w:val="en-GB"/>
                </w:rPr>
                <m:t>m</m:t>
              </m:r>
            </m:e>
          </m:d>
          <m:r>
            <w:rPr>
              <w:rFonts w:ascii="Cambria Math" w:hAnsi="Cambria Math"/>
              <w:lang w:val="en-GB"/>
            </w:rPr>
            <m:t>+10</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10</m:t>
                  </m:r>
                  <m:ctrlPr>
                    <w:rPr>
                      <w:rFonts w:ascii="Cambria Math" w:hAnsi="Cambria Math"/>
                      <w:lang w:val="en-GB"/>
                    </w:rPr>
                  </m:ctrlPr>
                </m:sub>
              </m:sSub>
            </m:fName>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SRS,c</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O-PUSCH,c</m:t>
                  </m:r>
                </m:sub>
              </m:sSub>
              <m:d>
                <m:dPr>
                  <m:ctrlPr>
                    <w:rPr>
                      <w:rFonts w:ascii="Cambria Math" w:hAnsi="Cambria Math"/>
                      <w:i/>
                      <w:lang w:val="en-GB"/>
                    </w:rPr>
                  </m:ctrlPr>
                </m:dPr>
                <m:e>
                  <m:r>
                    <w:rPr>
                      <w:rFonts w:ascii="Cambria Math" w:hAnsi="Cambria Math"/>
                      <w:lang w:val="en-GB"/>
                    </w:rPr>
                    <m:t>j</m:t>
                  </m:r>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c</m:t>
                  </m:r>
                </m:sub>
              </m:sSub>
              <m:d>
                <m:dPr>
                  <m:ctrlPr>
                    <w:rPr>
                      <w:rFonts w:ascii="Cambria Math" w:hAnsi="Cambria Math"/>
                      <w:i/>
                      <w:lang w:val="en-GB"/>
                    </w:rPr>
                  </m:ctrlPr>
                </m:dPr>
                <m:e>
                  <m:r>
                    <w:rPr>
                      <w:rFonts w:ascii="Cambria Math" w:hAnsi="Cambria Math"/>
                      <w:lang w:val="en-GB"/>
                    </w:rPr>
                    <m:t>j</m:t>
                  </m:r>
                </m:e>
              </m:d>
              <m:r>
                <w:rPr>
                  <w:rFonts w:ascii="Cambria Math" w:hAnsi="Cambria Math"/>
                  <w:lang w:val="en-GB"/>
                </w:rPr>
                <m:t>.P</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(i)}.</m:t>
              </m:r>
            </m:e>
          </m:func>
        </m:oMath>
      </m:oMathPara>
    </w:p>
    <w:p w14:paraId="539D2D74" w14:textId="77777777" w:rsidR="00BE766E" w:rsidRDefault="004A2433" w:rsidP="001E0A8C">
      <w:pPr>
        <w:jc w:val="both"/>
        <w:rPr>
          <w:lang w:val="en-GB"/>
        </w:rPr>
      </w:pPr>
      <w:r>
        <w:rPr>
          <w:lang w:val="en-GB"/>
        </w:rPr>
        <w:t xml:space="preserve">Similar to PUSCH versus </w:t>
      </w:r>
      <w:proofErr w:type="spellStart"/>
      <w:r>
        <w:rPr>
          <w:lang w:val="en-GB"/>
        </w:rPr>
        <w:t>sPUSCH</w:t>
      </w:r>
      <w:proofErr w:type="spellEnd"/>
      <w:r>
        <w:rPr>
          <w:lang w:val="en-GB"/>
        </w:rPr>
        <w:t xml:space="preserve"> power control, since the UE-specific SRS configurations may be different between 1ms SRS and shortened SRS, their open-loop power control parameters should be configured independently. Also, the closed-loop power</w:t>
      </w:r>
      <w:r w:rsidR="00BE766E">
        <w:rPr>
          <w:lang w:val="en-GB"/>
        </w:rPr>
        <w:t xml:space="preserve"> adjustment for shortened SRS should be based on that of the </w:t>
      </w:r>
      <w:proofErr w:type="spellStart"/>
      <w:r w:rsidR="00BE766E">
        <w:rPr>
          <w:lang w:val="en-GB"/>
        </w:rPr>
        <w:t>sPUSCH</w:t>
      </w:r>
      <w:proofErr w:type="spellEnd"/>
      <w:r w:rsidR="00BE766E">
        <w:rPr>
          <w:lang w:val="en-GB"/>
        </w:rPr>
        <w:t>.</w:t>
      </w:r>
    </w:p>
    <w:p w14:paraId="41DC92C6" w14:textId="416AEB32" w:rsidR="004A2433" w:rsidRPr="00BE766E" w:rsidRDefault="00836381" w:rsidP="001E0A8C">
      <w:pPr>
        <w:jc w:val="both"/>
        <w:rPr>
          <w:b/>
          <w:lang w:val="en-GB"/>
        </w:rPr>
      </w:pPr>
      <w:r>
        <w:rPr>
          <w:b/>
          <w:lang w:val="en-GB"/>
        </w:rPr>
        <w:t>Proposal 3</w:t>
      </w:r>
      <w:r w:rsidR="00BE766E" w:rsidRPr="00BE766E">
        <w:rPr>
          <w:b/>
          <w:lang w:val="en-GB"/>
        </w:rPr>
        <w:t xml:space="preserve">: For </w:t>
      </w:r>
      <w:proofErr w:type="spellStart"/>
      <w:r w:rsidR="00BE766E" w:rsidRPr="00BE766E">
        <w:rPr>
          <w:b/>
          <w:lang w:val="en-GB"/>
        </w:rPr>
        <w:t>sTTI</w:t>
      </w:r>
      <w:proofErr w:type="spellEnd"/>
      <w:r w:rsidR="00BE766E" w:rsidRPr="00BE766E">
        <w:rPr>
          <w:b/>
          <w:lang w:val="en-GB"/>
        </w:rPr>
        <w:t xml:space="preserve"> SRS transmission, both the closed-loop as well as the open-loop power control parameters should be configured independent of those of the 1ms TTI. </w:t>
      </w:r>
    </w:p>
    <w:p w14:paraId="596FA759" w14:textId="7393E656" w:rsidR="00836381" w:rsidRDefault="00836381" w:rsidP="00836381">
      <w:pPr>
        <w:jc w:val="both"/>
        <w:rPr>
          <w:lang w:val="en-GB"/>
        </w:rPr>
      </w:pPr>
      <w:r>
        <w:rPr>
          <w:lang w:val="en-GB"/>
        </w:rPr>
        <w:lastRenderedPageBreak/>
        <w:t>Whether a simultaneous transmission of different TTI lengths across different CCs is feasible is directly dependent on whether/under what conditions power sharing/splitting can be efficiently employed. In this regard, two scenarios should be looked at separately: (1) the simultaneous transmission of different TTI lengths across contiguous intra-band CCs, and (2) the simultaneous transmission of different TTI lengths across inter-band or non-contiguous intra-band CCs. For the first case, a UE uses a single RF chains. For the second case, a UE uses multiple RF chains.</w:t>
      </w:r>
    </w:p>
    <w:p w14:paraId="3C78C379" w14:textId="77777777" w:rsidR="00836381" w:rsidRDefault="00836381" w:rsidP="00836381">
      <w:pPr>
        <w:jc w:val="both"/>
        <w:rPr>
          <w:lang w:val="en-GB"/>
        </w:rPr>
      </w:pPr>
      <w:r>
        <w:rPr>
          <w:lang w:val="en-GB"/>
        </w:rPr>
        <w:t>In the first case, since a single RF chain is used, in case different TTI lengths are scheduled over different CCs, the phase continuity over the longer CC cannot be maintained. Hence, we have that:</w:t>
      </w:r>
    </w:p>
    <w:p w14:paraId="7FEFC275" w14:textId="2BE7C397" w:rsidR="00836381" w:rsidRPr="0033563D" w:rsidRDefault="00836381" w:rsidP="00836381">
      <w:pPr>
        <w:jc w:val="both"/>
        <w:rPr>
          <w:b/>
          <w:lang w:val="en-GB"/>
        </w:rPr>
      </w:pPr>
      <w:r w:rsidRPr="0033563D">
        <w:rPr>
          <w:b/>
          <w:lang w:val="en-GB"/>
        </w:rPr>
        <w:t xml:space="preserve">Proposal </w:t>
      </w:r>
      <w:r>
        <w:rPr>
          <w:b/>
          <w:lang w:val="en-GB"/>
        </w:rPr>
        <w:t>4</w:t>
      </w:r>
      <w:r w:rsidRPr="0033563D">
        <w:rPr>
          <w:b/>
          <w:lang w:val="en-GB"/>
        </w:rPr>
        <w:t xml:space="preserve">: </w:t>
      </w:r>
      <w:r>
        <w:rPr>
          <w:b/>
          <w:lang w:val="en-GB"/>
        </w:rPr>
        <w:t>S</w:t>
      </w:r>
      <w:r w:rsidRPr="0033563D">
        <w:rPr>
          <w:b/>
          <w:lang w:val="en-GB"/>
        </w:rPr>
        <w:t xml:space="preserve">imultaneous transmission of </w:t>
      </w:r>
      <w:r>
        <w:rPr>
          <w:b/>
          <w:lang w:val="en-GB"/>
        </w:rPr>
        <w:t xml:space="preserve">UL </w:t>
      </w:r>
      <w:r w:rsidRPr="0033563D">
        <w:rPr>
          <w:b/>
          <w:lang w:val="en-GB"/>
        </w:rPr>
        <w:t>TTI</w:t>
      </w:r>
      <w:r>
        <w:rPr>
          <w:b/>
          <w:lang w:val="en-GB"/>
        </w:rPr>
        <w:t>s</w:t>
      </w:r>
      <w:r w:rsidRPr="0033563D">
        <w:rPr>
          <w:b/>
          <w:lang w:val="en-GB"/>
        </w:rPr>
        <w:t xml:space="preserve"> </w:t>
      </w:r>
      <w:r>
        <w:rPr>
          <w:b/>
          <w:lang w:val="en-GB"/>
        </w:rPr>
        <w:t xml:space="preserve">with different </w:t>
      </w:r>
      <w:r w:rsidRPr="0033563D">
        <w:rPr>
          <w:b/>
          <w:lang w:val="en-GB"/>
        </w:rPr>
        <w:t xml:space="preserve">lengths across </w:t>
      </w:r>
      <w:r>
        <w:rPr>
          <w:b/>
          <w:lang w:val="en-GB"/>
        </w:rPr>
        <w:t xml:space="preserve">contiguous </w:t>
      </w:r>
      <w:r w:rsidRPr="00C74AE1">
        <w:rPr>
          <w:b/>
          <w:lang w:val="en-GB"/>
        </w:rPr>
        <w:t xml:space="preserve">intra-band </w:t>
      </w:r>
      <w:r w:rsidRPr="0033563D">
        <w:rPr>
          <w:b/>
          <w:lang w:val="en-GB"/>
        </w:rPr>
        <w:t>CCs is not supported.</w:t>
      </w:r>
    </w:p>
    <w:p w14:paraId="2C0409FA" w14:textId="77777777" w:rsidR="00836381" w:rsidRDefault="00836381" w:rsidP="00836381">
      <w:pPr>
        <w:jc w:val="both"/>
        <w:rPr>
          <w:lang w:val="en-GB"/>
        </w:rPr>
      </w:pPr>
      <w:r>
        <w:rPr>
          <w:lang w:val="en-GB"/>
        </w:rPr>
        <w:t>Hence, like the case of the simultaneous transmission over the single CC, some dropping rules should be defined.</w:t>
      </w:r>
    </w:p>
    <w:p w14:paraId="31FF7EE2" w14:textId="77777777" w:rsidR="00836381" w:rsidRDefault="00836381" w:rsidP="00836381">
      <w:pPr>
        <w:jc w:val="both"/>
        <w:rPr>
          <w:lang w:val="en-GB"/>
        </w:rPr>
      </w:pPr>
      <w:r>
        <w:rPr>
          <w:lang w:val="en-GB"/>
        </w:rPr>
        <w:t xml:space="preserve">In the second scenario, if TTIs of different lengths are scheduled over different CCs, since separate RF chains are used, the phase continuity over the larger TTI length(s) can be preserved. </w:t>
      </w:r>
    </w:p>
    <w:p w14:paraId="31B36D62" w14:textId="4476180E" w:rsidR="00836381" w:rsidRDefault="00836381" w:rsidP="00836381">
      <w:pPr>
        <w:jc w:val="both"/>
        <w:rPr>
          <w:b/>
          <w:lang w:val="en-GB"/>
        </w:rPr>
      </w:pPr>
      <w:r>
        <w:rPr>
          <w:b/>
          <w:lang w:val="en-GB"/>
        </w:rPr>
        <w:t>Proposal 5</w:t>
      </w:r>
      <w:r w:rsidRPr="0033563D">
        <w:rPr>
          <w:b/>
          <w:lang w:val="en-GB"/>
        </w:rPr>
        <w:t xml:space="preserve">: </w:t>
      </w:r>
      <w:r>
        <w:rPr>
          <w:b/>
          <w:lang w:val="en-GB"/>
        </w:rPr>
        <w:t>S</w:t>
      </w:r>
      <w:r w:rsidRPr="0033563D">
        <w:rPr>
          <w:b/>
          <w:lang w:val="en-GB"/>
        </w:rPr>
        <w:t xml:space="preserve">imultaneous transmission of UL TTIs with different lengths across inter-band CCs and non-contiguous intra-band CCs is supported. </w:t>
      </w:r>
    </w:p>
    <w:p w14:paraId="4B7814CE" w14:textId="77777777" w:rsidR="00836381" w:rsidRDefault="00836381" w:rsidP="00836381">
      <w:pPr>
        <w:jc w:val="both"/>
        <w:rPr>
          <w:lang w:val="en-GB"/>
        </w:rPr>
      </w:pPr>
      <w:r w:rsidRPr="0033563D">
        <w:rPr>
          <w:lang w:val="en-GB"/>
        </w:rPr>
        <w:t>One impor</w:t>
      </w:r>
      <w:r w:rsidRPr="00C74AE1">
        <w:rPr>
          <w:lang w:val="en-GB"/>
        </w:rPr>
        <w:t xml:space="preserve">tant aspect to consider here is </w:t>
      </w:r>
      <w:r>
        <w:rPr>
          <w:lang w:val="en-GB"/>
        </w:rPr>
        <w:t xml:space="preserve">the </w:t>
      </w:r>
      <w:r w:rsidRPr="00C74AE1">
        <w:rPr>
          <w:lang w:val="en-GB"/>
        </w:rPr>
        <w:t xml:space="preserve">issue of power sharing across different TTI lengths. </w:t>
      </w:r>
      <w:r>
        <w:rPr>
          <w:lang w:val="en-GB"/>
        </w:rPr>
        <w:t xml:space="preserve">This can be done in two different ways. </w:t>
      </w:r>
    </w:p>
    <w:p w14:paraId="58C2F242" w14:textId="6FB01266" w:rsidR="00836381" w:rsidRDefault="00836381" w:rsidP="00836381">
      <w:pPr>
        <w:jc w:val="both"/>
        <w:rPr>
          <w:lang w:val="en-GB"/>
        </w:rPr>
      </w:pPr>
      <w:r w:rsidRPr="0033563D">
        <w:rPr>
          <w:b/>
          <w:lang w:val="en-GB"/>
        </w:rPr>
        <w:t>Approach 1:</w:t>
      </w:r>
      <w:r>
        <w:rPr>
          <w:lang w:val="en-GB"/>
        </w:rPr>
        <w:t xml:space="preserve"> One promising way for UL power sharing across different TTI lengths under the second scenario is as follows: the </w:t>
      </w:r>
      <w:proofErr w:type="spellStart"/>
      <w:r>
        <w:rPr>
          <w:lang w:val="en-GB"/>
        </w:rPr>
        <w:t>eNB</w:t>
      </w:r>
      <w:proofErr w:type="spellEnd"/>
      <w:r>
        <w:rPr>
          <w:lang w:val="en-GB"/>
        </w:rPr>
        <w:t xml:space="preserve"> scheduler can semi-statically, e.g., via a RRC signalling, allocate a fraction of the total power to each of the supported TTI lengths. As an example, for a user that supports both 2-symbol and 1-slot </w:t>
      </w:r>
      <w:proofErr w:type="spellStart"/>
      <w:r>
        <w:rPr>
          <w:lang w:val="en-GB"/>
        </w:rPr>
        <w:t>sTTIs</w:t>
      </w:r>
      <w:proofErr w:type="spellEnd"/>
      <w:r>
        <w:rPr>
          <w:lang w:val="en-GB"/>
        </w:rPr>
        <w:t xml:space="preserve">, the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1</m:t>
            </m:r>
          </m:sub>
        </m:sSub>
      </m:oMath>
      <w:r>
        <w:rPr>
          <w:lang w:val="en-GB"/>
        </w:rPr>
        <w:t>portion of the total power can be allocated to the 1ms TTI, the</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2</m:t>
            </m:r>
          </m:sub>
        </m:sSub>
      </m:oMath>
      <w:r>
        <w:rPr>
          <w:lang w:val="en-GB"/>
        </w:rPr>
        <w:t xml:space="preserve"> portion of the total power can be allocated to the 1-slot sTTI, and the</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3</m:t>
            </m:r>
          </m:sub>
        </m:sSub>
      </m:oMath>
      <w:r>
        <w:rPr>
          <w:lang w:val="en-GB"/>
        </w:rPr>
        <w:t xml:space="preserve"> portion of the total power can be allocated to the 2-symbol sTTI, where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1</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3</m:t>
            </m:r>
          </m:sub>
        </m:sSub>
        <m:r>
          <w:rPr>
            <w:rFonts w:ascii="Cambria Math" w:hAnsi="Cambria Math"/>
            <w:lang w:val="en-GB"/>
          </w:rPr>
          <m:t>=1</m:t>
        </m:r>
      </m:oMath>
      <w:r>
        <w:rPr>
          <w:lang w:val="en-GB"/>
        </w:rPr>
        <w:t xml:space="preserve">, and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m:t>
            </m:r>
          </m:sub>
        </m:sSub>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oMath>
      <w:r>
        <w:rPr>
          <w:lang w:val="en-GB"/>
        </w:rPr>
        <w:t xml:space="preserve"> is the amount of power reserved for the operation of the </w:t>
      </w:r>
      <m:oMath>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th</m:t>
            </m:r>
          </m:sup>
        </m:sSup>
      </m:oMath>
      <w:r>
        <w:rPr>
          <w:lang w:val="en-GB"/>
        </w:rPr>
        <w:t xml:space="preserve"> TTI length over all activated CCs. </w:t>
      </w:r>
    </w:p>
    <w:p w14:paraId="49D4BC7F" w14:textId="369FDAD3" w:rsidR="00836381" w:rsidRDefault="00836381" w:rsidP="00836381">
      <w:pPr>
        <w:jc w:val="both"/>
        <w:rPr>
          <w:lang w:val="en-GB"/>
        </w:rPr>
      </w:pPr>
      <w:r>
        <w:rPr>
          <w:lang w:val="en-GB"/>
        </w:rPr>
        <w:t xml:space="preserve">If the power reserved for the longer (s)TTIs is not used (in case 1ms TTI and/or 1-slot </w:t>
      </w:r>
      <w:proofErr w:type="spellStart"/>
      <w:r>
        <w:rPr>
          <w:lang w:val="en-GB"/>
        </w:rPr>
        <w:t>sTTI</w:t>
      </w:r>
      <w:proofErr w:type="spellEnd"/>
      <w:r>
        <w:rPr>
          <w:lang w:val="en-GB"/>
        </w:rPr>
        <w:t xml:space="preserve"> are not scheduled), then all power is assigned to the shortest </w:t>
      </w:r>
      <w:proofErr w:type="spellStart"/>
      <w:r>
        <w:rPr>
          <w:lang w:val="en-GB"/>
        </w:rPr>
        <w:t>sTTI</w:t>
      </w:r>
      <w:proofErr w:type="spellEnd"/>
      <w:r>
        <w:rPr>
          <w:lang w:val="en-GB"/>
        </w:rPr>
        <w:t xml:space="preserve"> (e.g., the 2-symbol </w:t>
      </w:r>
      <w:proofErr w:type="spellStart"/>
      <w:r>
        <w:rPr>
          <w:lang w:val="en-GB"/>
        </w:rPr>
        <w:t>sTTI</w:t>
      </w:r>
      <w:proofErr w:type="spellEnd"/>
      <w:r>
        <w:rPr>
          <w:lang w:val="en-GB"/>
        </w:rPr>
        <w:t xml:space="preserve">.) Further, if in any transmission stance, the required transmit power for the </w:t>
      </w:r>
      <m:oMath>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th</m:t>
            </m:r>
          </m:sup>
        </m:sSup>
      </m:oMath>
      <w:r>
        <w:rPr>
          <w:lang w:val="en-GB"/>
        </w:rPr>
        <w:t xml:space="preserve"> TTI length is above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m:t>
            </m:r>
          </m:sub>
        </m:sSub>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oMath>
      <w:r>
        <w:rPr>
          <w:lang w:val="en-GB"/>
        </w:rPr>
        <w:t xml:space="preserve">, the UE has to scale down its transmit power allocated to the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m:t>
            </m:r>
          </m:sub>
        </m:sSub>
      </m:oMath>
      <w:r>
        <w:rPr>
          <w:lang w:val="en-GB"/>
        </w:rPr>
        <w:t xml:space="preserve"> TTI over all CCs. This can be done by defining some priority rules similar to the ones adopted for legacy LTE when the UE, in CA mode, is power-limited. As an example, the priority rule can be defined as (s)PUCCH &gt; (s)PUSCH with UCI &gt; (s)PUSCH.</w:t>
      </w:r>
    </w:p>
    <w:p w14:paraId="01502AE8" w14:textId="5B74382E" w:rsidR="00836381" w:rsidRDefault="00836381" w:rsidP="00836381">
      <w:pPr>
        <w:jc w:val="both"/>
        <w:rPr>
          <w:lang w:val="en-GB"/>
        </w:rPr>
      </w:pPr>
      <w:r w:rsidRPr="0033563D">
        <w:rPr>
          <w:b/>
          <w:lang w:val="en-GB"/>
        </w:rPr>
        <w:t>Approach 2:</w:t>
      </w:r>
      <w:r>
        <w:rPr>
          <w:lang w:val="en-GB"/>
        </w:rPr>
        <w:t xml:space="preserve"> In the second approach, the power assignment decisions are made more dynamically through the UL grant. As an example, for a UE that supports both the 1-slot and 2-symbol </w:t>
      </w:r>
      <w:proofErr w:type="spellStart"/>
      <w:r>
        <w:rPr>
          <w:lang w:val="en-GB"/>
        </w:rPr>
        <w:t>sTTIs</w:t>
      </w:r>
      <w:proofErr w:type="spellEnd"/>
      <w:r>
        <w:rPr>
          <w:lang w:val="en-GB"/>
        </w:rPr>
        <w:t xml:space="preserve">, the UL power for the 1ms TTI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is indicated first since the 1ms UL grant is sent earlier. The amount of power remained for the 2-symbol and 1-slot operations is then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Next, the UL power for the 1-slot sTTI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Pr>
          <w:lang w:val="en-GB"/>
        </w:rPr>
        <w:t xml:space="preserve">is indicated, and finally, the 2-symbol sTTI is assigned the residual power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Pr>
          <w:lang w:val="en-GB"/>
        </w:rPr>
        <w:t xml:space="preserve">. By properly determining the values of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3</m:t>
            </m:r>
          </m:sub>
        </m:sSub>
      </m:oMath>
      <w:r>
        <w:rPr>
          <w:lang w:val="en-GB"/>
        </w:rPr>
        <w:t>, the eNB can prioritize the transmission of a certain TTI length. In case, a UE is power limited, then the longer TTIs have lower priorities, and should be dropped.</w:t>
      </w:r>
    </w:p>
    <w:p w14:paraId="149C1C66" w14:textId="3A62EC9C" w:rsidR="00836381" w:rsidRPr="00836381" w:rsidRDefault="00836381" w:rsidP="00836381">
      <w:pPr>
        <w:pStyle w:val="BodyText"/>
        <w:rPr>
          <w:rFonts w:ascii="Times New Roman" w:eastAsiaTheme="minorEastAsia" w:hAnsi="Times New Roman"/>
          <w:lang w:eastAsia="zh-CN"/>
        </w:rPr>
      </w:pPr>
      <w:r w:rsidRPr="00836381">
        <w:rPr>
          <w:b/>
          <w:bCs/>
          <w:lang w:val="en-GB"/>
        </w:rPr>
        <w:t>Pros and Cons:</w:t>
      </w:r>
      <w:r>
        <w:rPr>
          <w:b/>
          <w:bCs/>
          <w:lang w:val="en-GB"/>
        </w:rPr>
        <w:t xml:space="preserve"> </w:t>
      </w:r>
      <w:r>
        <w:rPr>
          <w:rFonts w:ascii="Times New Roman" w:eastAsiaTheme="minorEastAsia" w:hAnsi="Times New Roman"/>
          <w:lang w:eastAsia="zh-CN"/>
        </w:rPr>
        <w:t>Approach 1</w:t>
      </w:r>
      <w:r w:rsidRPr="00836381">
        <w:rPr>
          <w:rFonts w:ascii="Times New Roman" w:eastAsiaTheme="minorEastAsia" w:hAnsi="Times New Roman"/>
          <w:lang w:eastAsia="zh-CN"/>
        </w:rPr>
        <w:t xml:space="preserve"> is more power efficient in a sense that the allocated power for the longer TTI will not be wasted by dropping.  Also, if not all the reserved power for the longer TTI is used, it can be used by the shorter TTI. </w:t>
      </w:r>
      <w:r>
        <w:rPr>
          <w:rFonts w:ascii="Times New Roman" w:eastAsiaTheme="minorEastAsia" w:hAnsi="Times New Roman"/>
          <w:lang w:eastAsia="zh-CN"/>
        </w:rPr>
        <w:t xml:space="preserve">In addition, since the powers are semi-statically allocated, the PHR for the two operations can be performed separately and independently. </w:t>
      </w:r>
      <w:r w:rsidRPr="00836381">
        <w:rPr>
          <w:rFonts w:ascii="Times New Roman" w:eastAsiaTheme="minorEastAsia" w:hAnsi="Times New Roman"/>
          <w:lang w:eastAsia="zh-CN"/>
        </w:rPr>
        <w:t xml:space="preserve">However, if the UE is power-limited, then the power of the shorter TTI should be scaled down, i.e., the </w:t>
      </w:r>
      <w:proofErr w:type="spellStart"/>
      <w:r w:rsidRPr="00836381">
        <w:rPr>
          <w:rFonts w:ascii="Times New Roman" w:eastAsiaTheme="minorEastAsia" w:hAnsi="Times New Roman"/>
          <w:lang w:eastAsia="zh-CN"/>
        </w:rPr>
        <w:t>sTTI</w:t>
      </w:r>
      <w:proofErr w:type="spellEnd"/>
      <w:r w:rsidRPr="00836381">
        <w:rPr>
          <w:rFonts w:ascii="Times New Roman" w:eastAsiaTheme="minorEastAsia" w:hAnsi="Times New Roman"/>
          <w:lang w:eastAsia="zh-CN"/>
        </w:rPr>
        <w:t xml:space="preserve"> performance will be impacted.</w:t>
      </w:r>
      <w:r>
        <w:rPr>
          <w:rFonts w:ascii="Times New Roman" w:eastAsiaTheme="minorEastAsia" w:hAnsi="Times New Roman"/>
          <w:lang w:eastAsia="zh-CN"/>
        </w:rPr>
        <w:t xml:space="preserve"> On the other hand, under Approach 2</w:t>
      </w:r>
      <w:r w:rsidRPr="00836381">
        <w:rPr>
          <w:rFonts w:ascii="Times New Roman" w:eastAsiaTheme="minorEastAsia" w:hAnsi="Times New Roman"/>
          <w:lang w:eastAsia="zh-CN"/>
        </w:rPr>
        <w:t xml:space="preserve">, </w:t>
      </w:r>
      <w:proofErr w:type="spellStart"/>
      <w:r w:rsidRPr="00836381">
        <w:rPr>
          <w:rFonts w:ascii="Times New Roman" w:eastAsiaTheme="minorEastAsia" w:hAnsi="Times New Roman"/>
          <w:lang w:eastAsia="zh-CN"/>
        </w:rPr>
        <w:t>sTTI</w:t>
      </w:r>
      <w:proofErr w:type="spellEnd"/>
      <w:r w:rsidRPr="00836381">
        <w:rPr>
          <w:rFonts w:ascii="Times New Roman" w:eastAsiaTheme="minorEastAsia" w:hAnsi="Times New Roman"/>
          <w:lang w:eastAsia="zh-CN"/>
        </w:rPr>
        <w:t xml:space="preserve"> always has a priority, i.e., its power does not need to be scaled down. However, if some power is assigned to the longer TTI, and the longer TTI is dropped, the power is wasted.</w:t>
      </w:r>
      <w:r>
        <w:rPr>
          <w:rFonts w:ascii="Times New Roman" w:eastAsiaTheme="minorEastAsia" w:hAnsi="Times New Roman"/>
          <w:lang w:eastAsia="zh-CN"/>
        </w:rPr>
        <w:t xml:space="preserve"> Moreover, PHR computation under this scheme is more challenging since the allocated powers to different TTI length </w:t>
      </w:r>
      <w:r w:rsidR="00981CD7">
        <w:rPr>
          <w:rFonts w:ascii="Times New Roman" w:eastAsiaTheme="minorEastAsia" w:hAnsi="Times New Roman"/>
          <w:lang w:eastAsia="zh-CN"/>
        </w:rPr>
        <w:t>are dependent.</w:t>
      </w:r>
    </w:p>
    <w:p w14:paraId="5B988D77" w14:textId="7A832689" w:rsidR="00836381" w:rsidRPr="00981CD7" w:rsidRDefault="00836381" w:rsidP="00981CD7">
      <w:pPr>
        <w:jc w:val="both"/>
        <w:rPr>
          <w:rFonts w:ascii="Arial" w:hAnsi="Arial"/>
          <w:b/>
          <w:sz w:val="36"/>
          <w:lang w:val="en-GB"/>
        </w:rPr>
      </w:pPr>
      <w:r w:rsidRPr="0033563D">
        <w:rPr>
          <w:b/>
          <w:lang w:val="en-GB"/>
        </w:rPr>
        <w:t xml:space="preserve">Proposal </w:t>
      </w:r>
      <w:r>
        <w:rPr>
          <w:b/>
          <w:lang w:val="en-GB"/>
        </w:rPr>
        <w:t>6</w:t>
      </w:r>
      <w:r w:rsidRPr="0033563D">
        <w:rPr>
          <w:b/>
          <w:lang w:val="en-GB"/>
        </w:rPr>
        <w:t xml:space="preserve">: When UL TTIs with different lengths are scheduled over inter-band or non-contiguous intra-band CCs, </w:t>
      </w:r>
      <w:r>
        <w:rPr>
          <w:b/>
          <w:lang w:val="en-GB"/>
        </w:rPr>
        <w:t>adopt either Approach 1 or Approach 2 for UL power assignment.</w:t>
      </w:r>
    </w:p>
    <w:p w14:paraId="1266F8BE" w14:textId="3EA2E2F5" w:rsidR="009E0303" w:rsidRPr="00113EC6" w:rsidRDefault="00BA2042" w:rsidP="00113EC6">
      <w:pPr>
        <w:pStyle w:val="Heading1"/>
        <w:ind w:left="0" w:firstLine="0"/>
        <w:jc w:val="both"/>
      </w:pPr>
      <w:r>
        <w:t xml:space="preserve">        </w:t>
      </w:r>
      <w:r w:rsidR="00491EEE" w:rsidRPr="00E05A22">
        <w:t xml:space="preserve">Conclusions </w:t>
      </w:r>
      <w:r w:rsidR="009E0303">
        <w:rPr>
          <w:b/>
        </w:rPr>
        <w:t xml:space="preserve"> </w:t>
      </w:r>
    </w:p>
    <w:p w14:paraId="222FD8BB" w14:textId="77777777" w:rsidR="00C67B9A" w:rsidRDefault="00C67B9A" w:rsidP="00C67B9A">
      <w:pPr>
        <w:jc w:val="both"/>
        <w:rPr>
          <w:b/>
          <w:lang w:val="en-GB"/>
        </w:rPr>
      </w:pPr>
      <w:r w:rsidRPr="00B74A6A">
        <w:rPr>
          <w:b/>
          <w:lang w:val="en-GB"/>
        </w:rPr>
        <w:t xml:space="preserve">Proposal 1: For </w:t>
      </w:r>
      <w:proofErr w:type="spellStart"/>
      <w:r w:rsidRPr="00B74A6A">
        <w:rPr>
          <w:b/>
          <w:lang w:val="en-GB"/>
        </w:rPr>
        <w:t>sPUSCH</w:t>
      </w:r>
      <w:proofErr w:type="spellEnd"/>
      <w:r w:rsidRPr="00B74A6A">
        <w:rPr>
          <w:b/>
          <w:lang w:val="en-GB"/>
        </w:rPr>
        <w:t xml:space="preserve">, the open-loop power control parameters should be defined </w:t>
      </w:r>
      <w:r>
        <w:rPr>
          <w:b/>
          <w:lang w:val="en-GB"/>
        </w:rPr>
        <w:t xml:space="preserve">and configured </w:t>
      </w:r>
      <w:r w:rsidRPr="00B74A6A">
        <w:rPr>
          <w:b/>
          <w:lang w:val="en-GB"/>
        </w:rPr>
        <w:t xml:space="preserve">independent of those of the legacy LTE. </w:t>
      </w:r>
    </w:p>
    <w:p w14:paraId="588A8C00" w14:textId="3F88E298" w:rsidR="00514F6C" w:rsidRDefault="00514F6C" w:rsidP="00514F6C">
      <w:pPr>
        <w:jc w:val="both"/>
        <w:rPr>
          <w:b/>
          <w:lang w:val="en-GB"/>
        </w:rPr>
      </w:pPr>
      <w:r w:rsidRPr="00DD4A51">
        <w:rPr>
          <w:b/>
          <w:lang w:val="en-GB"/>
        </w:rPr>
        <w:t xml:space="preserve">Proposal 2: The closed-loop power control parameter of </w:t>
      </w:r>
      <w:proofErr w:type="spellStart"/>
      <w:r w:rsidRPr="00DD4A51">
        <w:rPr>
          <w:b/>
          <w:lang w:val="en-GB"/>
        </w:rPr>
        <w:t>sPU</w:t>
      </w:r>
      <w:r>
        <w:rPr>
          <w:b/>
          <w:lang w:val="en-GB"/>
        </w:rPr>
        <w:t>S</w:t>
      </w:r>
      <w:r w:rsidRPr="00DD4A51">
        <w:rPr>
          <w:b/>
          <w:lang w:val="en-GB"/>
        </w:rPr>
        <w:t>CH</w:t>
      </w:r>
      <w:proofErr w:type="spellEnd"/>
      <w:r w:rsidRPr="00DD4A51">
        <w:rPr>
          <w:b/>
          <w:lang w:val="en-GB"/>
        </w:rPr>
        <w:t xml:space="preserve"> is controlled via a TPC command within</w:t>
      </w:r>
      <w:r>
        <w:rPr>
          <w:b/>
          <w:lang w:val="en-GB"/>
        </w:rPr>
        <w:t xml:space="preserve"> the UL grant</w:t>
      </w:r>
      <w:r w:rsidRPr="00DD4A51">
        <w:rPr>
          <w:b/>
          <w:lang w:val="en-GB"/>
        </w:rPr>
        <w:t xml:space="preserve">, and is applied to the corresponding UL </w:t>
      </w:r>
      <w:proofErr w:type="spellStart"/>
      <w:r w:rsidRPr="00DD4A51">
        <w:rPr>
          <w:b/>
          <w:lang w:val="en-GB"/>
        </w:rPr>
        <w:t>sTTI</w:t>
      </w:r>
      <w:proofErr w:type="spellEnd"/>
      <w:r w:rsidRPr="00DD4A51">
        <w:rPr>
          <w:b/>
          <w:lang w:val="en-GB"/>
        </w:rPr>
        <w:t>.</w:t>
      </w:r>
    </w:p>
    <w:p w14:paraId="122ADF64" w14:textId="56C9C15B" w:rsidR="00BE766E" w:rsidRPr="00BE766E" w:rsidRDefault="00836381" w:rsidP="00BE766E">
      <w:pPr>
        <w:jc w:val="both"/>
        <w:rPr>
          <w:b/>
          <w:lang w:val="en-GB"/>
        </w:rPr>
      </w:pPr>
      <w:r>
        <w:rPr>
          <w:b/>
          <w:lang w:val="en-GB"/>
        </w:rPr>
        <w:lastRenderedPageBreak/>
        <w:t>Proposal 3</w:t>
      </w:r>
      <w:r w:rsidR="00BE766E" w:rsidRPr="00BE766E">
        <w:rPr>
          <w:b/>
          <w:lang w:val="en-GB"/>
        </w:rPr>
        <w:t xml:space="preserve">: For </w:t>
      </w:r>
      <w:proofErr w:type="spellStart"/>
      <w:r w:rsidR="00BE766E" w:rsidRPr="00BE766E">
        <w:rPr>
          <w:b/>
          <w:lang w:val="en-GB"/>
        </w:rPr>
        <w:t>sTTI</w:t>
      </w:r>
      <w:proofErr w:type="spellEnd"/>
      <w:r w:rsidR="00BE766E" w:rsidRPr="00BE766E">
        <w:rPr>
          <w:b/>
          <w:lang w:val="en-GB"/>
        </w:rPr>
        <w:t xml:space="preserve"> SRS transmission, both the closed-loop as well as the open-loop power control parameters should be configured independent of those of the 1ms TTI. </w:t>
      </w:r>
    </w:p>
    <w:p w14:paraId="222FBD3E" w14:textId="77777777" w:rsidR="00836381" w:rsidRPr="0033563D" w:rsidRDefault="00836381" w:rsidP="00836381">
      <w:pPr>
        <w:jc w:val="both"/>
        <w:rPr>
          <w:b/>
          <w:lang w:val="en-GB"/>
        </w:rPr>
      </w:pPr>
      <w:r w:rsidRPr="0033563D">
        <w:rPr>
          <w:b/>
          <w:lang w:val="en-GB"/>
        </w:rPr>
        <w:t xml:space="preserve">Proposal </w:t>
      </w:r>
      <w:r>
        <w:rPr>
          <w:b/>
          <w:lang w:val="en-GB"/>
        </w:rPr>
        <w:t>4</w:t>
      </w:r>
      <w:r w:rsidRPr="0033563D">
        <w:rPr>
          <w:b/>
          <w:lang w:val="en-GB"/>
        </w:rPr>
        <w:t xml:space="preserve">: </w:t>
      </w:r>
      <w:r>
        <w:rPr>
          <w:b/>
          <w:lang w:val="en-GB"/>
        </w:rPr>
        <w:t>S</w:t>
      </w:r>
      <w:r w:rsidRPr="0033563D">
        <w:rPr>
          <w:b/>
          <w:lang w:val="en-GB"/>
        </w:rPr>
        <w:t xml:space="preserve">imultaneous transmission of </w:t>
      </w:r>
      <w:r>
        <w:rPr>
          <w:b/>
          <w:lang w:val="en-GB"/>
        </w:rPr>
        <w:t xml:space="preserve">UL </w:t>
      </w:r>
      <w:r w:rsidRPr="0033563D">
        <w:rPr>
          <w:b/>
          <w:lang w:val="en-GB"/>
        </w:rPr>
        <w:t>TTI</w:t>
      </w:r>
      <w:r>
        <w:rPr>
          <w:b/>
          <w:lang w:val="en-GB"/>
        </w:rPr>
        <w:t>s</w:t>
      </w:r>
      <w:r w:rsidRPr="0033563D">
        <w:rPr>
          <w:b/>
          <w:lang w:val="en-GB"/>
        </w:rPr>
        <w:t xml:space="preserve"> </w:t>
      </w:r>
      <w:r>
        <w:rPr>
          <w:b/>
          <w:lang w:val="en-GB"/>
        </w:rPr>
        <w:t xml:space="preserve">with different </w:t>
      </w:r>
      <w:r w:rsidRPr="0033563D">
        <w:rPr>
          <w:b/>
          <w:lang w:val="en-GB"/>
        </w:rPr>
        <w:t xml:space="preserve">lengths across </w:t>
      </w:r>
      <w:r>
        <w:rPr>
          <w:b/>
          <w:lang w:val="en-GB"/>
        </w:rPr>
        <w:t xml:space="preserve">contiguous </w:t>
      </w:r>
      <w:r w:rsidRPr="00C74AE1">
        <w:rPr>
          <w:b/>
          <w:lang w:val="en-GB"/>
        </w:rPr>
        <w:t xml:space="preserve">intra-band </w:t>
      </w:r>
      <w:r w:rsidRPr="0033563D">
        <w:rPr>
          <w:b/>
          <w:lang w:val="en-GB"/>
        </w:rPr>
        <w:t>CCs is not supported.</w:t>
      </w:r>
    </w:p>
    <w:p w14:paraId="34DF358C" w14:textId="77777777" w:rsidR="00836381" w:rsidRDefault="00836381" w:rsidP="00836381">
      <w:pPr>
        <w:jc w:val="both"/>
        <w:rPr>
          <w:b/>
          <w:lang w:val="en-GB"/>
        </w:rPr>
      </w:pPr>
      <w:r>
        <w:rPr>
          <w:b/>
          <w:lang w:val="en-GB"/>
        </w:rPr>
        <w:t>Proposal 5</w:t>
      </w:r>
      <w:r w:rsidRPr="0033563D">
        <w:rPr>
          <w:b/>
          <w:lang w:val="en-GB"/>
        </w:rPr>
        <w:t xml:space="preserve">: </w:t>
      </w:r>
      <w:r>
        <w:rPr>
          <w:b/>
          <w:lang w:val="en-GB"/>
        </w:rPr>
        <w:t>S</w:t>
      </w:r>
      <w:r w:rsidRPr="0033563D">
        <w:rPr>
          <w:b/>
          <w:lang w:val="en-GB"/>
        </w:rPr>
        <w:t xml:space="preserve">imultaneous transmission of UL TTIs with different lengths across inter-band CCs and non-contiguous intra-band CCs is supported. </w:t>
      </w:r>
    </w:p>
    <w:p w14:paraId="45A08B35" w14:textId="77777777" w:rsidR="00981CD7" w:rsidRPr="0033563D" w:rsidRDefault="00981CD7" w:rsidP="00981CD7">
      <w:pPr>
        <w:jc w:val="both"/>
        <w:rPr>
          <w:rFonts w:ascii="Arial" w:hAnsi="Arial"/>
          <w:b/>
          <w:sz w:val="36"/>
          <w:lang w:val="en-GB"/>
        </w:rPr>
      </w:pPr>
      <w:r w:rsidRPr="0033563D">
        <w:rPr>
          <w:b/>
          <w:lang w:val="en-GB"/>
        </w:rPr>
        <w:t xml:space="preserve">Proposal </w:t>
      </w:r>
      <w:r>
        <w:rPr>
          <w:b/>
          <w:lang w:val="en-GB"/>
        </w:rPr>
        <w:t>6</w:t>
      </w:r>
      <w:r w:rsidRPr="0033563D">
        <w:rPr>
          <w:b/>
          <w:lang w:val="en-GB"/>
        </w:rPr>
        <w:t xml:space="preserve">: When UL TTIs with different lengths are scheduled over inter-band or non-contiguous intra-band CCs, </w:t>
      </w:r>
      <w:r>
        <w:rPr>
          <w:b/>
          <w:lang w:val="en-GB"/>
        </w:rPr>
        <w:t>adopt either Approach 1 or Approach 2 for UL power assignment.</w:t>
      </w:r>
    </w:p>
    <w:p w14:paraId="3B095063" w14:textId="77777777" w:rsidR="00981CD7" w:rsidRDefault="00981CD7" w:rsidP="00981CD7">
      <w:pPr>
        <w:jc w:val="both"/>
        <w:rPr>
          <w:lang w:val="en-GB"/>
        </w:rPr>
      </w:pPr>
    </w:p>
    <w:p w14:paraId="0169C866" w14:textId="77777777" w:rsidR="00514F6C" w:rsidRDefault="00514F6C" w:rsidP="00514F6C">
      <w:pPr>
        <w:jc w:val="both"/>
        <w:rPr>
          <w:b/>
          <w:lang w:val="en-GB"/>
        </w:rPr>
      </w:pPr>
    </w:p>
    <w:p w14:paraId="66EF4816" w14:textId="77777777" w:rsidR="001E0A8C" w:rsidRPr="00482B01" w:rsidRDefault="001E0A8C" w:rsidP="000B32A6">
      <w:pPr>
        <w:jc w:val="both"/>
        <w:rPr>
          <w:b/>
          <w:lang w:val="en-GB"/>
        </w:rPr>
      </w:pPr>
    </w:p>
    <w:sectPr w:rsidR="001E0A8C" w:rsidRPr="00482B0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78F25" w14:textId="77777777" w:rsidR="00200ED4" w:rsidRDefault="00200ED4">
      <w:r>
        <w:separator/>
      </w:r>
    </w:p>
  </w:endnote>
  <w:endnote w:type="continuationSeparator" w:id="0">
    <w:p w14:paraId="0449B405" w14:textId="77777777" w:rsidR="00200ED4" w:rsidRDefault="00200ED4">
      <w:r>
        <w:continuationSeparator/>
      </w:r>
    </w:p>
  </w:endnote>
  <w:endnote w:type="continuationNotice" w:id="1">
    <w:p w14:paraId="7F4B46E2" w14:textId="77777777" w:rsidR="00200ED4" w:rsidRDefault="00200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6B0542" w:rsidRDefault="006B05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B0542" w:rsidRDefault="006B05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22988F2" w:rsidR="006B0542" w:rsidRDefault="006B05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D155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155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7239E" w14:textId="77777777" w:rsidR="00200ED4" w:rsidRDefault="00200ED4">
      <w:r>
        <w:separator/>
      </w:r>
    </w:p>
  </w:footnote>
  <w:footnote w:type="continuationSeparator" w:id="0">
    <w:p w14:paraId="0CA3B2AB" w14:textId="77777777" w:rsidR="00200ED4" w:rsidRDefault="00200ED4">
      <w:r>
        <w:continuationSeparator/>
      </w:r>
    </w:p>
  </w:footnote>
  <w:footnote w:type="continuationNotice" w:id="1">
    <w:p w14:paraId="406644D2" w14:textId="77777777" w:rsidR="00200ED4" w:rsidRDefault="00200E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6B0542" w:rsidRDefault="006B05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2E1F0625"/>
    <w:multiLevelType w:val="hybridMultilevel"/>
    <w:tmpl w:val="B898261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9EF"/>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2E6"/>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2F9F"/>
    <w:rsid w:val="00053A47"/>
    <w:rsid w:val="00054700"/>
    <w:rsid w:val="00054D76"/>
    <w:rsid w:val="00054F5A"/>
    <w:rsid w:val="00055B35"/>
    <w:rsid w:val="0005602E"/>
    <w:rsid w:val="00056057"/>
    <w:rsid w:val="000565AE"/>
    <w:rsid w:val="000570A3"/>
    <w:rsid w:val="000570E2"/>
    <w:rsid w:val="0005759C"/>
    <w:rsid w:val="000576D0"/>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CD5"/>
    <w:rsid w:val="00072EFA"/>
    <w:rsid w:val="000732F1"/>
    <w:rsid w:val="000743A0"/>
    <w:rsid w:val="000743B4"/>
    <w:rsid w:val="00074A64"/>
    <w:rsid w:val="00074BF5"/>
    <w:rsid w:val="00075680"/>
    <w:rsid w:val="00075C29"/>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2C1E"/>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E011D"/>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3EC6"/>
    <w:rsid w:val="001140FA"/>
    <w:rsid w:val="001146A3"/>
    <w:rsid w:val="00114B8D"/>
    <w:rsid w:val="00114EA7"/>
    <w:rsid w:val="0011538D"/>
    <w:rsid w:val="00115B96"/>
    <w:rsid w:val="00115CD0"/>
    <w:rsid w:val="00115F55"/>
    <w:rsid w:val="00117957"/>
    <w:rsid w:val="00117C13"/>
    <w:rsid w:val="00120545"/>
    <w:rsid w:val="00121412"/>
    <w:rsid w:val="001232B7"/>
    <w:rsid w:val="00123993"/>
    <w:rsid w:val="0012467D"/>
    <w:rsid w:val="00124A01"/>
    <w:rsid w:val="00124D4C"/>
    <w:rsid w:val="00124D8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870"/>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6C16"/>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0DE"/>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0A8C"/>
    <w:rsid w:val="001E216A"/>
    <w:rsid w:val="001E21FC"/>
    <w:rsid w:val="001E220A"/>
    <w:rsid w:val="001E2419"/>
    <w:rsid w:val="001E24F9"/>
    <w:rsid w:val="001E2563"/>
    <w:rsid w:val="001E2C1A"/>
    <w:rsid w:val="001E359D"/>
    <w:rsid w:val="001E420B"/>
    <w:rsid w:val="001E4704"/>
    <w:rsid w:val="001E4B22"/>
    <w:rsid w:val="001E4B8F"/>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39B9"/>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0ED4"/>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17F"/>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41E"/>
    <w:rsid w:val="00256B8F"/>
    <w:rsid w:val="00257A62"/>
    <w:rsid w:val="00260587"/>
    <w:rsid w:val="002605CB"/>
    <w:rsid w:val="0026075E"/>
    <w:rsid w:val="00260998"/>
    <w:rsid w:val="00261D05"/>
    <w:rsid w:val="00262830"/>
    <w:rsid w:val="00262952"/>
    <w:rsid w:val="00263BC6"/>
    <w:rsid w:val="00263EA2"/>
    <w:rsid w:val="002640EA"/>
    <w:rsid w:val="002644D5"/>
    <w:rsid w:val="0026511B"/>
    <w:rsid w:val="00265701"/>
    <w:rsid w:val="00265996"/>
    <w:rsid w:val="00265A57"/>
    <w:rsid w:val="00265B7E"/>
    <w:rsid w:val="00266210"/>
    <w:rsid w:val="002669F7"/>
    <w:rsid w:val="00266A13"/>
    <w:rsid w:val="0026716C"/>
    <w:rsid w:val="002676D3"/>
    <w:rsid w:val="00270087"/>
    <w:rsid w:val="002718BB"/>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572"/>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598"/>
    <w:rsid w:val="002A0724"/>
    <w:rsid w:val="002A07C1"/>
    <w:rsid w:val="002A08EC"/>
    <w:rsid w:val="002A1DF0"/>
    <w:rsid w:val="002A1EBB"/>
    <w:rsid w:val="002A205B"/>
    <w:rsid w:val="002A3668"/>
    <w:rsid w:val="002A36FE"/>
    <w:rsid w:val="002A4CEE"/>
    <w:rsid w:val="002A53DF"/>
    <w:rsid w:val="002A544B"/>
    <w:rsid w:val="002A7431"/>
    <w:rsid w:val="002B03CD"/>
    <w:rsid w:val="002B0459"/>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034"/>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267C"/>
    <w:rsid w:val="0033306E"/>
    <w:rsid w:val="00333DC8"/>
    <w:rsid w:val="00335250"/>
    <w:rsid w:val="003358D3"/>
    <w:rsid w:val="0033592C"/>
    <w:rsid w:val="00335B9C"/>
    <w:rsid w:val="00336164"/>
    <w:rsid w:val="003407E8"/>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455"/>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CFA"/>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69B"/>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D83"/>
    <w:rsid w:val="003A5F1C"/>
    <w:rsid w:val="003A6D8E"/>
    <w:rsid w:val="003A7354"/>
    <w:rsid w:val="003B0B4D"/>
    <w:rsid w:val="003B1041"/>
    <w:rsid w:val="003B1B0A"/>
    <w:rsid w:val="003B1DFE"/>
    <w:rsid w:val="003B1E5D"/>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3DA7"/>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3173"/>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226"/>
    <w:rsid w:val="0044747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121"/>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B01"/>
    <w:rsid w:val="00482F20"/>
    <w:rsid w:val="004832EE"/>
    <w:rsid w:val="00483CCA"/>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2433"/>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85C"/>
    <w:rsid w:val="00503EC5"/>
    <w:rsid w:val="00503F53"/>
    <w:rsid w:val="005043A3"/>
    <w:rsid w:val="00504A7C"/>
    <w:rsid w:val="00504FF2"/>
    <w:rsid w:val="005052AC"/>
    <w:rsid w:val="00505A2A"/>
    <w:rsid w:val="00505BED"/>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4F6C"/>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3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901"/>
    <w:rsid w:val="005C3A28"/>
    <w:rsid w:val="005C4037"/>
    <w:rsid w:val="005C5849"/>
    <w:rsid w:val="005C5AA6"/>
    <w:rsid w:val="005C5E0A"/>
    <w:rsid w:val="005C5E4D"/>
    <w:rsid w:val="005C7CAD"/>
    <w:rsid w:val="005D02FA"/>
    <w:rsid w:val="005D0790"/>
    <w:rsid w:val="005D1468"/>
    <w:rsid w:val="005D2043"/>
    <w:rsid w:val="005D20FC"/>
    <w:rsid w:val="005D220E"/>
    <w:rsid w:val="005D23B2"/>
    <w:rsid w:val="005D2464"/>
    <w:rsid w:val="005D2EE8"/>
    <w:rsid w:val="005D32EE"/>
    <w:rsid w:val="005D35F8"/>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987"/>
    <w:rsid w:val="005F0C46"/>
    <w:rsid w:val="005F1533"/>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413"/>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9B5"/>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64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C5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76F"/>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030"/>
    <w:rsid w:val="00753440"/>
    <w:rsid w:val="0075379D"/>
    <w:rsid w:val="00753819"/>
    <w:rsid w:val="00753DAC"/>
    <w:rsid w:val="00753DDF"/>
    <w:rsid w:val="00754128"/>
    <w:rsid w:val="00754E83"/>
    <w:rsid w:val="00754FB6"/>
    <w:rsid w:val="00755151"/>
    <w:rsid w:val="00755B06"/>
    <w:rsid w:val="0075603B"/>
    <w:rsid w:val="00756C09"/>
    <w:rsid w:val="007570E6"/>
    <w:rsid w:val="00757A61"/>
    <w:rsid w:val="0076002A"/>
    <w:rsid w:val="007600A8"/>
    <w:rsid w:val="00760D79"/>
    <w:rsid w:val="007619FB"/>
    <w:rsid w:val="00761F93"/>
    <w:rsid w:val="00762924"/>
    <w:rsid w:val="00762D30"/>
    <w:rsid w:val="00763339"/>
    <w:rsid w:val="00763355"/>
    <w:rsid w:val="00763522"/>
    <w:rsid w:val="00763FE8"/>
    <w:rsid w:val="00764E1D"/>
    <w:rsid w:val="00765327"/>
    <w:rsid w:val="007656A7"/>
    <w:rsid w:val="007661E2"/>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46D"/>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9AD"/>
    <w:rsid w:val="007A5A5A"/>
    <w:rsid w:val="007A5BC2"/>
    <w:rsid w:val="007A618D"/>
    <w:rsid w:val="007A712E"/>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6D0"/>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79E"/>
    <w:rsid w:val="00827A8A"/>
    <w:rsid w:val="008304D0"/>
    <w:rsid w:val="008306F5"/>
    <w:rsid w:val="00830D11"/>
    <w:rsid w:val="008314F0"/>
    <w:rsid w:val="008319D3"/>
    <w:rsid w:val="00832BE4"/>
    <w:rsid w:val="00832C18"/>
    <w:rsid w:val="0083388D"/>
    <w:rsid w:val="0083411C"/>
    <w:rsid w:val="008343CB"/>
    <w:rsid w:val="00834512"/>
    <w:rsid w:val="0083476E"/>
    <w:rsid w:val="00835544"/>
    <w:rsid w:val="00835967"/>
    <w:rsid w:val="00835B82"/>
    <w:rsid w:val="00836381"/>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A90"/>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608A"/>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AA1"/>
    <w:rsid w:val="008E0E8C"/>
    <w:rsid w:val="008E16C5"/>
    <w:rsid w:val="008E2051"/>
    <w:rsid w:val="008E2525"/>
    <w:rsid w:val="008E28A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1704B"/>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1CD7"/>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18AF"/>
    <w:rsid w:val="009A2261"/>
    <w:rsid w:val="009A253A"/>
    <w:rsid w:val="009A2968"/>
    <w:rsid w:val="009A3DBF"/>
    <w:rsid w:val="009A43FF"/>
    <w:rsid w:val="009A465D"/>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0A"/>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303"/>
    <w:rsid w:val="009E0DE1"/>
    <w:rsid w:val="009E1726"/>
    <w:rsid w:val="009E1F70"/>
    <w:rsid w:val="009E2F97"/>
    <w:rsid w:val="009E3790"/>
    <w:rsid w:val="009E3809"/>
    <w:rsid w:val="009E3B5F"/>
    <w:rsid w:val="009E3C3E"/>
    <w:rsid w:val="009E457F"/>
    <w:rsid w:val="009E4811"/>
    <w:rsid w:val="009E58D4"/>
    <w:rsid w:val="009E5912"/>
    <w:rsid w:val="009E59CC"/>
    <w:rsid w:val="009E59E8"/>
    <w:rsid w:val="009E6928"/>
    <w:rsid w:val="009E732A"/>
    <w:rsid w:val="009E73D9"/>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9F7C9F"/>
    <w:rsid w:val="00A0039D"/>
    <w:rsid w:val="00A00574"/>
    <w:rsid w:val="00A008F2"/>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36"/>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77882"/>
    <w:rsid w:val="00A80709"/>
    <w:rsid w:val="00A817F3"/>
    <w:rsid w:val="00A81DCD"/>
    <w:rsid w:val="00A8221B"/>
    <w:rsid w:val="00A82D80"/>
    <w:rsid w:val="00A83430"/>
    <w:rsid w:val="00A8389D"/>
    <w:rsid w:val="00A83BF1"/>
    <w:rsid w:val="00A84298"/>
    <w:rsid w:val="00A842D6"/>
    <w:rsid w:val="00A844C6"/>
    <w:rsid w:val="00A8523D"/>
    <w:rsid w:val="00A853A6"/>
    <w:rsid w:val="00A865D3"/>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0E79"/>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C1E"/>
    <w:rsid w:val="00B43F99"/>
    <w:rsid w:val="00B4485B"/>
    <w:rsid w:val="00B448C2"/>
    <w:rsid w:val="00B45186"/>
    <w:rsid w:val="00B46FB7"/>
    <w:rsid w:val="00B477AA"/>
    <w:rsid w:val="00B4783F"/>
    <w:rsid w:val="00B47CEF"/>
    <w:rsid w:val="00B50C57"/>
    <w:rsid w:val="00B50D90"/>
    <w:rsid w:val="00B52A20"/>
    <w:rsid w:val="00B52D01"/>
    <w:rsid w:val="00B54CD5"/>
    <w:rsid w:val="00B553CF"/>
    <w:rsid w:val="00B553DB"/>
    <w:rsid w:val="00B554C6"/>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3E43"/>
    <w:rsid w:val="00B744D0"/>
    <w:rsid w:val="00B74A0D"/>
    <w:rsid w:val="00B74A6A"/>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944"/>
    <w:rsid w:val="00B83DF6"/>
    <w:rsid w:val="00B83FEF"/>
    <w:rsid w:val="00B8620A"/>
    <w:rsid w:val="00B86DBB"/>
    <w:rsid w:val="00B86FC3"/>
    <w:rsid w:val="00B9086A"/>
    <w:rsid w:val="00B91DBA"/>
    <w:rsid w:val="00B93093"/>
    <w:rsid w:val="00B93392"/>
    <w:rsid w:val="00B93412"/>
    <w:rsid w:val="00B939D5"/>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042"/>
    <w:rsid w:val="00BA2642"/>
    <w:rsid w:val="00BA2729"/>
    <w:rsid w:val="00BA283C"/>
    <w:rsid w:val="00BA2AEB"/>
    <w:rsid w:val="00BA2BCA"/>
    <w:rsid w:val="00BA3A4C"/>
    <w:rsid w:val="00BA3B3B"/>
    <w:rsid w:val="00BA40BE"/>
    <w:rsid w:val="00BA44AB"/>
    <w:rsid w:val="00BA48E0"/>
    <w:rsid w:val="00BA5357"/>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E766E"/>
    <w:rsid w:val="00BF0ACA"/>
    <w:rsid w:val="00BF0FD5"/>
    <w:rsid w:val="00BF10D2"/>
    <w:rsid w:val="00BF116C"/>
    <w:rsid w:val="00BF120B"/>
    <w:rsid w:val="00BF19D1"/>
    <w:rsid w:val="00BF22EE"/>
    <w:rsid w:val="00BF2AF0"/>
    <w:rsid w:val="00BF31CB"/>
    <w:rsid w:val="00BF3A23"/>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C25"/>
    <w:rsid w:val="00C05DB8"/>
    <w:rsid w:val="00C06066"/>
    <w:rsid w:val="00C067A4"/>
    <w:rsid w:val="00C076F5"/>
    <w:rsid w:val="00C078CC"/>
    <w:rsid w:val="00C07B8B"/>
    <w:rsid w:val="00C07CAD"/>
    <w:rsid w:val="00C10C19"/>
    <w:rsid w:val="00C10F74"/>
    <w:rsid w:val="00C11183"/>
    <w:rsid w:val="00C11231"/>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528"/>
    <w:rsid w:val="00C24DDC"/>
    <w:rsid w:val="00C24EE5"/>
    <w:rsid w:val="00C259DE"/>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67B9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995"/>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6A2"/>
    <w:rsid w:val="00D36706"/>
    <w:rsid w:val="00D367E7"/>
    <w:rsid w:val="00D37F30"/>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430"/>
    <w:rsid w:val="00DB7507"/>
    <w:rsid w:val="00DB75E6"/>
    <w:rsid w:val="00DB7E8C"/>
    <w:rsid w:val="00DC0554"/>
    <w:rsid w:val="00DC0BF8"/>
    <w:rsid w:val="00DC0F93"/>
    <w:rsid w:val="00DC16C2"/>
    <w:rsid w:val="00DC1763"/>
    <w:rsid w:val="00DC17C6"/>
    <w:rsid w:val="00DC28A6"/>
    <w:rsid w:val="00DC3BC7"/>
    <w:rsid w:val="00DC3DC1"/>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4A51"/>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3BE"/>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320"/>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D8A"/>
    <w:rsid w:val="00E32E0E"/>
    <w:rsid w:val="00E33222"/>
    <w:rsid w:val="00E33802"/>
    <w:rsid w:val="00E33814"/>
    <w:rsid w:val="00E33D97"/>
    <w:rsid w:val="00E3582D"/>
    <w:rsid w:val="00E35AC6"/>
    <w:rsid w:val="00E35F47"/>
    <w:rsid w:val="00E36306"/>
    <w:rsid w:val="00E36C4E"/>
    <w:rsid w:val="00E377BF"/>
    <w:rsid w:val="00E379BC"/>
    <w:rsid w:val="00E42CC0"/>
    <w:rsid w:val="00E42D6E"/>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2F1"/>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5F29"/>
    <w:rsid w:val="00EA7499"/>
    <w:rsid w:val="00EA74E3"/>
    <w:rsid w:val="00EA7744"/>
    <w:rsid w:val="00EB178A"/>
    <w:rsid w:val="00EB2435"/>
    <w:rsid w:val="00EB266A"/>
    <w:rsid w:val="00EB3027"/>
    <w:rsid w:val="00EB306C"/>
    <w:rsid w:val="00EB30D8"/>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552"/>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21F4"/>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4B7"/>
    <w:rsid w:val="00F60802"/>
    <w:rsid w:val="00F61564"/>
    <w:rsid w:val="00F6190D"/>
    <w:rsid w:val="00F61D1B"/>
    <w:rsid w:val="00F61FDE"/>
    <w:rsid w:val="00F62BB8"/>
    <w:rsid w:val="00F63DE6"/>
    <w:rsid w:val="00F640FB"/>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224"/>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270"/>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163"/>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4E55"/>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4054"/>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2"/>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67958810">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6162491">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6353455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1951741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39859529">
      <w:bodyDiv w:val="1"/>
      <w:marLeft w:val="0"/>
      <w:marRight w:val="0"/>
      <w:marTop w:val="0"/>
      <w:marBottom w:val="0"/>
      <w:divBdr>
        <w:top w:val="none" w:sz="0" w:space="0" w:color="auto"/>
        <w:left w:val="none" w:sz="0" w:space="0" w:color="auto"/>
        <w:bottom w:val="none" w:sz="0" w:space="0" w:color="auto"/>
        <w:right w:val="none" w:sz="0" w:space="0" w:color="auto"/>
      </w:divBdr>
    </w:div>
    <w:div w:id="1781415774">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378336">
      <w:bodyDiv w:val="1"/>
      <w:marLeft w:val="0"/>
      <w:marRight w:val="0"/>
      <w:marTop w:val="0"/>
      <w:marBottom w:val="0"/>
      <w:divBdr>
        <w:top w:val="none" w:sz="0" w:space="0" w:color="auto"/>
        <w:left w:val="none" w:sz="0" w:space="0" w:color="auto"/>
        <w:bottom w:val="none" w:sz="0" w:space="0" w:color="auto"/>
        <w:right w:val="none" w:sz="0" w:space="0" w:color="auto"/>
      </w:divBdr>
      <w:divsChild>
        <w:div w:id="621888138">
          <w:marLeft w:val="1166"/>
          <w:marRight w:val="0"/>
          <w:marTop w:val="96"/>
          <w:marBottom w:val="0"/>
          <w:divBdr>
            <w:top w:val="none" w:sz="0" w:space="0" w:color="auto"/>
            <w:left w:val="none" w:sz="0" w:space="0" w:color="auto"/>
            <w:bottom w:val="none" w:sz="0" w:space="0" w:color="auto"/>
            <w:right w:val="none" w:sz="0" w:space="0" w:color="auto"/>
          </w:divBdr>
        </w:div>
        <w:div w:id="1401367490">
          <w:marLeft w:val="1166"/>
          <w:marRight w:val="0"/>
          <w:marTop w:val="96"/>
          <w:marBottom w:val="0"/>
          <w:divBdr>
            <w:top w:val="none" w:sz="0" w:space="0" w:color="auto"/>
            <w:left w:val="none" w:sz="0" w:space="0" w:color="auto"/>
            <w:bottom w:val="none" w:sz="0" w:space="0" w:color="auto"/>
            <w:right w:val="none" w:sz="0" w:space="0" w:color="auto"/>
          </w:divBdr>
        </w:div>
        <w:div w:id="800999700">
          <w:marLeft w:val="1627"/>
          <w:marRight w:val="0"/>
          <w:marTop w:val="86"/>
          <w:marBottom w:val="0"/>
          <w:divBdr>
            <w:top w:val="none" w:sz="0" w:space="0" w:color="auto"/>
            <w:left w:val="none" w:sz="0" w:space="0" w:color="auto"/>
            <w:bottom w:val="none" w:sz="0" w:space="0" w:color="auto"/>
            <w:right w:val="none" w:sz="0" w:space="0" w:color="auto"/>
          </w:divBdr>
        </w:div>
        <w:div w:id="1900751915">
          <w:marLeft w:val="1627"/>
          <w:marRight w:val="0"/>
          <w:marTop w:val="86"/>
          <w:marBottom w:val="0"/>
          <w:divBdr>
            <w:top w:val="none" w:sz="0" w:space="0" w:color="auto"/>
            <w:left w:val="none" w:sz="0" w:space="0" w:color="auto"/>
            <w:bottom w:val="none" w:sz="0" w:space="0" w:color="auto"/>
            <w:right w:val="none" w:sz="0" w:space="0" w:color="auto"/>
          </w:divBdr>
        </w:div>
        <w:div w:id="1054701278">
          <w:marLeft w:val="1166"/>
          <w:marRight w:val="0"/>
          <w:marTop w:val="96"/>
          <w:marBottom w:val="0"/>
          <w:divBdr>
            <w:top w:val="none" w:sz="0" w:space="0" w:color="auto"/>
            <w:left w:val="none" w:sz="0" w:space="0" w:color="auto"/>
            <w:bottom w:val="none" w:sz="0" w:space="0" w:color="auto"/>
            <w:right w:val="none" w:sz="0" w:space="0" w:color="auto"/>
          </w:divBdr>
        </w:div>
        <w:div w:id="693502384">
          <w:marLeft w:val="1627"/>
          <w:marRight w:val="0"/>
          <w:marTop w:val="86"/>
          <w:marBottom w:val="0"/>
          <w:divBdr>
            <w:top w:val="none" w:sz="0" w:space="0" w:color="auto"/>
            <w:left w:val="none" w:sz="0" w:space="0" w:color="auto"/>
            <w:bottom w:val="none" w:sz="0" w:space="0" w:color="auto"/>
            <w:right w:val="none" w:sz="0" w:space="0" w:color="auto"/>
          </w:divBdr>
        </w:div>
        <w:div w:id="1632979750">
          <w:marLeft w:val="1627"/>
          <w:marRight w:val="0"/>
          <w:marTop w:val="8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HR33RHYHUWRF-4-1718</_dlc_DocId>
    <_dlc_DocIdUrl xmlns="c06861ca-3f08-4d07-bff7-bb15bac121f4">
      <Url>https://projects.qualcomm.com/sites/pentari/_layouts/15/DocIdRedir.aspx?ID=HR33RHYHUWRF-4-1718</Url>
      <Description>HR33RHYHUWRF-4-1718</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A3700C39-3814-48E0-9007-DC7159EF5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CCABBE96-E5F5-412C-A1FF-1DE1D4CFC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4</cp:revision>
  <cp:lastPrinted>2016-10-06T20:33:00Z</cp:lastPrinted>
  <dcterms:created xsi:type="dcterms:W3CDTF">2017-09-29T05:42:00Z</dcterms:created>
  <dcterms:modified xsi:type="dcterms:W3CDTF">2017-09-30T03:19:00Z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1950577925</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9b231924-4aec-48af-9972-a373ce17b47c</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1011036142</vt:i4>
  </property>
  <property fmtid="{D5CDD505-2E9C-101B-9397-08002B2CF9AE}" pid="12" name="_ReviewingToolsShownOnce">
    <vt:lpwstr/>
  </property>
</Properties>
</file>